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7E79" w:rsidRDefault="00C924B9" w:rsidP="00542762">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613BAE" w:rsidRPr="00183016" w:rsidRDefault="0039445A" w:rsidP="00183016">
      <w:pPr>
        <w:rPr>
          <w:b/>
          <w:sz w:val="24"/>
          <w:szCs w:val="24"/>
        </w:rPr>
      </w:pPr>
      <w:r w:rsidRPr="00687E79">
        <w:rPr>
          <w:b/>
          <w:i/>
          <w:sz w:val="32"/>
          <w:szCs w:val="32"/>
        </w:rPr>
        <w:t>International Journal on World Peace</w:t>
      </w:r>
      <w:r w:rsidRPr="00687E79">
        <w:rPr>
          <w:b/>
          <w:sz w:val="32"/>
          <w:szCs w:val="32"/>
        </w:rPr>
        <w:t xml:space="preserve"> (</w:t>
      </w:r>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r w:rsidR="00183016">
        <w:rPr>
          <w:b/>
          <w:sz w:val="32"/>
          <w:szCs w:val="32"/>
        </w:rPr>
        <w:tab/>
      </w:r>
      <w:r w:rsidR="00183016">
        <w:rPr>
          <w:b/>
          <w:sz w:val="32"/>
          <w:szCs w:val="32"/>
        </w:rPr>
        <w:tab/>
      </w:r>
      <w:r w:rsidR="00183016">
        <w:rPr>
          <w:b/>
          <w:sz w:val="32"/>
          <w:szCs w:val="32"/>
        </w:rPr>
        <w:tab/>
      </w:r>
      <w:r w:rsidR="00183016">
        <w:rPr>
          <w:b/>
          <w:sz w:val="32"/>
          <w:szCs w:val="32"/>
        </w:rPr>
        <w:tab/>
      </w:r>
      <w:r w:rsidR="00183016">
        <w:rPr>
          <w:b/>
          <w:sz w:val="32"/>
          <w:szCs w:val="32"/>
        </w:rPr>
        <w:tab/>
      </w:r>
      <w:r w:rsidR="00183016">
        <w:rPr>
          <w:b/>
          <w:sz w:val="24"/>
          <w:szCs w:val="24"/>
        </w:rPr>
        <w:t>04/25/2017</w:t>
      </w:r>
      <w:r w:rsidR="00F87B56">
        <w:rPr>
          <w:i/>
          <w:iCs/>
          <w:lang w:val="ja-JP"/>
        </w:rPr>
        <w:tab/>
      </w:r>
    </w:p>
    <w:p w:rsidR="000E4F1E" w:rsidRDefault="000E4F1E" w:rsidP="00542762"/>
    <w:p w:rsidR="00542762" w:rsidRDefault="000E4F1E" w:rsidP="00542762">
      <w:pPr>
        <w:pStyle w:val="NormalWeb"/>
        <w:spacing w:before="0" w:beforeAutospacing="0" w:after="0" w:afterAutospacing="0"/>
        <w:rPr>
          <w:sz w:val="20"/>
          <w:szCs w:val="20"/>
        </w:rPr>
      </w:pPr>
      <w:r>
        <w:rPr>
          <w:i/>
          <w:iCs/>
          <w:color w:val="000000"/>
          <w:sz w:val="27"/>
          <w:szCs w:val="27"/>
        </w:rPr>
        <w:t>The Art of Peace,</w:t>
      </w:r>
      <w:r>
        <w:rPr>
          <w:iCs/>
          <w:color w:val="000000"/>
          <w:sz w:val="27"/>
          <w:szCs w:val="27"/>
        </w:rPr>
        <w:t xml:space="preserve"> by Juliana Geran Pilon, Transaction Publishers, 2016. </w:t>
      </w:r>
      <w:r w:rsidR="00542762" w:rsidRPr="00542762">
        <w:rPr>
          <w:sz w:val="20"/>
          <w:szCs w:val="20"/>
        </w:rPr>
        <w:t xml:space="preserve">Sun Tzu, author of </w:t>
      </w:r>
      <w:r w:rsidR="00542762" w:rsidRPr="00542762">
        <w:rPr>
          <w:rStyle w:val="Emphasis"/>
          <w:sz w:val="20"/>
          <w:szCs w:val="20"/>
        </w:rPr>
        <w:t>The Art of War</w:t>
      </w:r>
      <w:r w:rsidR="00542762" w:rsidRPr="00542762">
        <w:rPr>
          <w:sz w:val="20"/>
          <w:szCs w:val="20"/>
        </w:rPr>
        <w:t>, believed that the acme of leadership consists in figuring out how to subdue the enemy with the least amount of fighting—a fact that America’s Founders also understood, and practiced with astonishing success. For it to work, however, a people must possess both the ability and the willingness to use all available instruments of power in peace as much as in war. US foreign policy has increasingly neglected the instruments of civilian power and become overly dependent on lethal solutions to conflict.</w:t>
      </w:r>
      <w:r w:rsidR="00542762">
        <w:rPr>
          <w:sz w:val="20"/>
          <w:szCs w:val="20"/>
        </w:rPr>
        <w:tab/>
      </w:r>
    </w:p>
    <w:p w:rsidR="00542762" w:rsidRPr="00542762" w:rsidRDefault="00542762" w:rsidP="00542762">
      <w:pPr>
        <w:pStyle w:val="NormalWeb"/>
        <w:spacing w:before="0" w:beforeAutospacing="0" w:after="0" w:afterAutospacing="0"/>
        <w:rPr>
          <w:sz w:val="20"/>
          <w:szCs w:val="20"/>
        </w:rPr>
      </w:pPr>
      <w:r>
        <w:rPr>
          <w:sz w:val="20"/>
          <w:szCs w:val="20"/>
        </w:rPr>
        <w:tab/>
      </w:r>
      <w:r w:rsidRPr="00542762">
        <w:rPr>
          <w:sz w:val="20"/>
          <w:szCs w:val="20"/>
        </w:rPr>
        <w:t>The steep rise in unconventional conflict has increased the need for diplomatic and other non-hardpower tools of statecraft. The United States can no longer afford to sit on the proverbial three-legged national security stool (“military, diplomacy, development”), where one leg is a lot longer than either of the other two, almost forgetting altogether the fourth leg—information, especially strategic communication and public diplomacy. The United States isn’t so much becoming militarized as decivilianized.</w:t>
      </w:r>
    </w:p>
    <w:p w:rsidR="00542762" w:rsidRPr="00542762" w:rsidRDefault="00542762" w:rsidP="00542762">
      <w:pPr>
        <w:pStyle w:val="NormalWeb"/>
        <w:spacing w:before="0" w:beforeAutospacing="0" w:after="0" w:afterAutospacing="0"/>
        <w:rPr>
          <w:sz w:val="20"/>
          <w:szCs w:val="20"/>
        </w:rPr>
      </w:pPr>
      <w:r>
        <w:rPr>
          <w:sz w:val="20"/>
          <w:szCs w:val="20"/>
        </w:rPr>
        <w:tab/>
      </w:r>
      <w:r w:rsidRPr="00542762">
        <w:rPr>
          <w:sz w:val="20"/>
          <w:szCs w:val="20"/>
        </w:rPr>
        <w:t>According to Sun Tzu, self-knowledge is as important as knowledge of one’s enemy: “if you know neither yourself nor the enemy, you will succumb in every battle.” Alarmingly, the United States is deficient on both counts. And though we can stand to lose a few battles, the stakes of losing the war itself in this age of nuclear proliferation are too high to contemplate.</w:t>
      </w:r>
    </w:p>
    <w:p w:rsidR="000E4F1E" w:rsidRPr="000E4F1E" w:rsidRDefault="000E4F1E" w:rsidP="00542762">
      <w:pPr>
        <w:rPr>
          <w:iCs/>
          <w:color w:val="000000"/>
          <w:sz w:val="27"/>
          <w:szCs w:val="27"/>
        </w:rPr>
      </w:pPr>
    </w:p>
    <w:p w:rsidR="00396AA8" w:rsidRDefault="00396AA8" w:rsidP="00542762">
      <w:pPr>
        <w:rPr>
          <w:iCs/>
          <w:color w:val="000000"/>
          <w:sz w:val="27"/>
          <w:szCs w:val="27"/>
        </w:rPr>
      </w:pPr>
      <w:r>
        <w:rPr>
          <w:i/>
          <w:iCs/>
          <w:color w:val="000000"/>
          <w:sz w:val="27"/>
          <w:szCs w:val="27"/>
        </w:rPr>
        <w:t>Advancing Nonviolence and Social Transformation: New Perspectives on Nonviolent Theories</w:t>
      </w:r>
      <w:r>
        <w:rPr>
          <w:iCs/>
          <w:color w:val="000000"/>
          <w:sz w:val="27"/>
          <w:szCs w:val="27"/>
        </w:rPr>
        <w:t xml:space="preserve"> edited by Heather Eaton and Lauren Michelle Levesque, Equinox Publishers, 2016.</w:t>
      </w:r>
    </w:p>
    <w:p w:rsidR="00396AA8" w:rsidRDefault="00396AA8" w:rsidP="00542762">
      <w:pPr>
        <w:rPr>
          <w:i/>
          <w:iCs/>
          <w:color w:val="000000"/>
          <w:sz w:val="27"/>
          <w:szCs w:val="27"/>
        </w:rPr>
      </w:pPr>
      <w:r>
        <w:rPr>
          <w:i/>
          <w:iCs/>
          <w:color w:val="000000"/>
          <w:sz w:val="27"/>
          <w:szCs w:val="27"/>
        </w:rPr>
        <w:t xml:space="preserve"> </w:t>
      </w:r>
      <w:r>
        <w:t>Nonviolence is emerging as a topic of great interest in activist, academic and community settings. In particular, nonviolence is being recognized as a necessary component of constructive and sustainable social change. This book considers nonviolence in relationship to specific social, political, ecological and spiritual issues. Through case studies and examinations of social resistance, gender, the arts, and education, it provides specialists and non-specialists with a solid introduction to the importance and relevance of nonviolence in various contexts. Advancing Nonviolence and Social Transformation is organized into five sections. The first section is a set of essays on various historical and contemporary perspectives on nonviolence. The second section consists of essays on philosophical and theoretical explorations of the topic. The third and fourth sections expand the scope of nonviolence into the areas of thought and action, including Indigenous resistance, student protests, human trafficking, intimate partner violence and ecological issues. The final section takes nonviolence into the study of wonder, music, education and hope. The book will be useful to anyone working in the theories and practices of social change.</w:t>
      </w:r>
    </w:p>
    <w:p w:rsidR="00396AA8" w:rsidRDefault="00396AA8" w:rsidP="00542762">
      <w:pPr>
        <w:rPr>
          <w:i/>
          <w:iCs/>
          <w:color w:val="000000"/>
          <w:sz w:val="27"/>
          <w:szCs w:val="27"/>
        </w:rPr>
      </w:pPr>
    </w:p>
    <w:p w:rsidR="00183016" w:rsidRDefault="008E6679" w:rsidP="00183016">
      <w:r>
        <w:rPr>
          <w:i/>
          <w:iCs/>
          <w:color w:val="000000"/>
          <w:sz w:val="27"/>
          <w:szCs w:val="27"/>
        </w:rPr>
        <w:t>Connecting Peace, Justice, and Reconciliation,</w:t>
      </w:r>
      <w:r>
        <w:rPr>
          <w:iCs/>
          <w:color w:val="000000"/>
          <w:sz w:val="27"/>
          <w:szCs w:val="27"/>
        </w:rPr>
        <w:t xml:space="preserve"> by Elisabeth Porter, Lynne Rienner Publishing, 2015</w:t>
      </w:r>
      <w:r w:rsidRPr="00482594">
        <w:rPr>
          <w:iCs/>
          <w:color w:val="000000"/>
          <w:sz w:val="27"/>
          <w:szCs w:val="27"/>
        </w:rPr>
        <w:t>.</w:t>
      </w:r>
      <w:r>
        <w:rPr>
          <w:iCs/>
          <w:color w:val="000000"/>
          <w:sz w:val="27"/>
          <w:szCs w:val="27"/>
        </w:rPr>
        <w:t xml:space="preserve"> (</w:t>
      </w:r>
      <w:r>
        <w:t>Can postconflict states achieve both peace and justice as they deal with a traumatic past? What role does reconciliation play in healing wounds, building trust, and rectifying injustices? This provocative book, incorporating the frameworks of both peace/conflict studies and transitional justice, explores the core challenges that war-torn states confront once the violence has ended. The book is organized around a series of questions, each one the subject of a chapter, with each chapter presenting a wide range of practical examples and case studies. The author also stakes out a position on each question, encouraging readers to evaluate and respond to ideas, practices, and strategies. Narratives are a notable feature of the work, with the human consequences of war and peace highlighted throughout.)</w:t>
      </w:r>
    </w:p>
    <w:p w:rsidR="00183016" w:rsidRDefault="00183016" w:rsidP="00183016"/>
    <w:p w:rsidR="00183016" w:rsidRDefault="00183016" w:rsidP="00183016">
      <w:r>
        <w:rPr>
          <w:i/>
          <w:sz w:val="27"/>
          <w:szCs w:val="27"/>
        </w:rPr>
        <w:t xml:space="preserve">The Corruption Cure: How Citizens and Leaders Can Combat Graft </w:t>
      </w:r>
      <w:r>
        <w:rPr>
          <w:sz w:val="27"/>
          <w:szCs w:val="27"/>
        </w:rPr>
        <w:t xml:space="preserve">by Robert I. Rotberg, Princeton University Press, 2017. </w:t>
      </w:r>
      <w:r>
        <w:t xml:space="preserve">Corruption corrodes all facets of the world's political and corporate life, yet until now there was no one book that explained how best to battle it. </w:t>
      </w:r>
      <w:r>
        <w:rPr>
          <w:i/>
          <w:iCs/>
        </w:rPr>
        <w:t>The Corruption Cure</w:t>
      </w:r>
      <w:r>
        <w:t xml:space="preserve"> provides many of the required solutions and ranges widely across continents and diverse cultures--putting some thirty-five countries under an anticorruption microscope--to show exactly how to beat back the forces of sleaze and graft.  Robert Rotberg defines corruption theoretically and practically in its many forms, describes the available legal remedies, and examines how we know and measure corruption's presence. He looks at successful and unsuccessful attempts to employ anticorruption investigative commissions to combat political theft and venal behavior. He explores how the globe's least corrupt nations reached that exceptional goal. Another chapter discusses the role of civil society in limiting corruption. Expressed political will through determined leadership is a key factor in winning all of these battles. Rotberg analyzes the best-performing noncorrupt states to show how consummate leadership made a telling difference. He demonstrates precisely how determined leaders changed their wildly corrupt countries into paragons of virtue, and how leadership is making a significant difference in stimulating political anticorruption movements in places like India, Croatia, Honduras, and Lebanon. Rotberg looks at corporate corruption and how it can be checked, and also offers an innovative fourteen-step plan for nations that are ready to end corruption.  Curing rampant corruption globally requires strengthened political leadership and the willingness to remake national political cultures. Tougher laws and better prosecutions are not enough. This book enables us to rethink the problem completely--and solve it once and for all.</w:t>
      </w:r>
    </w:p>
    <w:p w:rsidR="00183016" w:rsidRPr="00183016" w:rsidRDefault="00183016" w:rsidP="00542762"/>
    <w:p w:rsidR="00183016" w:rsidRDefault="00183016" w:rsidP="00542762">
      <w:pPr>
        <w:rPr>
          <w:sz w:val="27"/>
          <w:szCs w:val="27"/>
        </w:rPr>
      </w:pPr>
    </w:p>
    <w:p w:rsidR="00183016" w:rsidRDefault="00183016" w:rsidP="00542762">
      <w:r>
        <w:rPr>
          <w:i/>
          <w:sz w:val="27"/>
          <w:szCs w:val="27"/>
        </w:rPr>
        <w:lastRenderedPageBreak/>
        <w:t xml:space="preserve">Does Democracy Matter?The United States and Global Democracy Support </w:t>
      </w:r>
      <w:r>
        <w:rPr>
          <w:sz w:val="27"/>
          <w:szCs w:val="27"/>
        </w:rPr>
        <w:t xml:space="preserve">edited by Basora, Marczyk, and Otarashvili,  Rowman and Littlefield, 2017. </w:t>
      </w:r>
      <w:r>
        <w:t>Does democracy matter? Is democracy on the defensive globally? If so, what can or should be done to support democracy throughout the world? The present book arose from a conference dedicated to the following three related questions: Should fostering democracy be a major goal of U.S. foreign policy? If so, how can its effectiveness be improved? If not, what are the alternatives? Through an exploration of “soft power,” the authors of this book examine available knowledge and necessary new research agendas that will help us better understand both democratization efforts and authoritarian pushback in today’s difficult context.</w:t>
      </w:r>
    </w:p>
    <w:p w:rsidR="00183016" w:rsidRPr="00183016" w:rsidRDefault="00183016" w:rsidP="00542762"/>
    <w:p w:rsidR="009135FE" w:rsidRDefault="009135FE" w:rsidP="00542762">
      <w:pPr>
        <w:rPr>
          <w:sz w:val="27"/>
          <w:szCs w:val="27"/>
        </w:rPr>
      </w:pPr>
      <w:r>
        <w:rPr>
          <w:i/>
          <w:sz w:val="27"/>
          <w:szCs w:val="27"/>
        </w:rPr>
        <w:t xml:space="preserve">Healing through the Bones: Empowerment and the Process of Exhumations in the Context of Cyprus </w:t>
      </w:r>
      <w:r>
        <w:rPr>
          <w:sz w:val="27"/>
          <w:szCs w:val="27"/>
        </w:rPr>
        <w:t xml:space="preserve">by Kristian T.P. FICS. Hamilton Books (Rowman), 2017. </w:t>
      </w:r>
      <w:r>
        <w:t>Violent conflict created a divide in Cyprus (1950–1974) that still exists to this day between Turkish and Greek Cypriots. This study explores specifically an effect of violent conflict—Missing Persons and the bi-communal process of their humanitarian return. This process is important for peacebuilding because it empowers individuals, families, communities, and nation-states to satisfy basic human psycho-social needs in order to deal with the trauma of past violence, to recognize loss and grieve, and to seek closure of uncertainty to prevent the transgenerational transmission of trauma and escalation of violence between and within ethnic societies.</w:t>
      </w:r>
    </w:p>
    <w:p w:rsidR="009135FE" w:rsidRDefault="009135FE" w:rsidP="00542762">
      <w:pPr>
        <w:rPr>
          <w:sz w:val="27"/>
          <w:szCs w:val="27"/>
        </w:rPr>
      </w:pPr>
    </w:p>
    <w:p w:rsidR="00B40640" w:rsidRDefault="005A2F3F" w:rsidP="00542762">
      <w:r w:rsidRPr="0067549E">
        <w:rPr>
          <w:i/>
          <w:sz w:val="27"/>
          <w:szCs w:val="27"/>
        </w:rPr>
        <w:t>International Conflict Analysis in South Asia: A Study of Sectarian Violence in Pakistan</w:t>
      </w:r>
      <w:r>
        <w:rPr>
          <w:sz w:val="27"/>
          <w:szCs w:val="27"/>
        </w:rPr>
        <w:t xml:space="preserve"> by Safeer Tariq Bhatti, University Press of America, 2016. </w:t>
      </w:r>
      <w:r>
        <w:t>(</w:t>
      </w:r>
      <w:r>
        <w:rPr>
          <w:i/>
          <w:iCs/>
        </w:rPr>
        <w:t xml:space="preserve">International Conflict Analysis in South Asia: A Study of Sectarian Violence in Pakistan </w:t>
      </w:r>
      <w:r>
        <w:t xml:space="preserve">analyzes the ideological relationship of the Muslim identity to its perceived practice of Islam among the Shia and Deobandi sects. A Muslim identity, defined as the parameters of who is and who isn’t a Muslim has led to the political conundrum of Pakistan to an anticipated single interpretation of Islam causing severe sectarian violence across the country. Sectarianism has been rooted in Pakistan’s affairs since 1953, but most recently the country has been victimized by political and sectarian Islamic </w:t>
      </w:r>
    </w:p>
    <w:p w:rsidR="005A2F3F" w:rsidRDefault="005A2F3F" w:rsidP="00542762">
      <w:r>
        <w:t>movements. The collective mobilization and propaganda campaigns of these movements have led exclusion of certain religious minorities and their practices. The study takes root in Punjab Pakistan among twenty seven interviews where the Deobandi sect and the Shia sect face severe fatalities and undefined conflict.)</w:t>
      </w:r>
    </w:p>
    <w:p w:rsidR="002B5D9A" w:rsidRDefault="002B5D9A" w:rsidP="00542762">
      <w:pPr>
        <w:rPr>
          <w:color w:val="000000"/>
          <w:sz w:val="27"/>
          <w:szCs w:val="27"/>
        </w:rPr>
      </w:pPr>
    </w:p>
    <w:p w:rsidR="00AD1735" w:rsidRDefault="00AD1735" w:rsidP="00542762">
      <w:pPr>
        <w:rPr>
          <w:i/>
          <w:sz w:val="27"/>
          <w:szCs w:val="27"/>
        </w:rPr>
      </w:pPr>
    </w:p>
    <w:p w:rsidR="002B5D9A" w:rsidRDefault="002B5D9A" w:rsidP="00542762">
      <w:r>
        <w:rPr>
          <w:i/>
          <w:sz w:val="27"/>
          <w:szCs w:val="27"/>
        </w:rPr>
        <w:t xml:space="preserve">Rethinking the Oceans: Towards the Blue Economy, </w:t>
      </w:r>
      <w:r>
        <w:rPr>
          <w:sz w:val="27"/>
          <w:szCs w:val="27"/>
        </w:rPr>
        <w:t>by James Alix Michel. Paragon House, 2016.  (</w:t>
      </w:r>
      <w:r>
        <w:t>The world has come to a crossroads. By the end of this century the total population is expected to exceed ten billion, but the area of land to support this is finite. Indeed, with climate change, some of the most valuable land areas will be lost, much of it as a result of rising sea levels. To sustain life on earth, new ways have to be found to grow food, generate energy, and conserve the environment on which our future depends. Fortunately, when faced with a challenge of such consequence, people prove to be remarkably inventive. In this case, solutions are by no means beyond reach. We can start, quite simply, by looking out to sea. There, stretching to the horizon, lies the future. Remarkably, the oceans cover two and a half times the extent of terra firma. Yet we have always taken far less interest in the sea than the land. But what if we change our thinking? Instead of continuing to see the land as our future, suppose we put our trust in the sea. For solutions to some of the earth's most pressing problems, the oceans may be our salvation, the source of untapped economic wealth. Within these waters can be found the elements of what is now widely known as the Blue Economy, the new frontier for human development. It is a twenty-first century concept to meet a twenty-first century challenge. This book explores all aspects of the Blue Economy. Where does the idea come from? What does it include? How can it transform traditional economies? Can it be sustainable? And what needs to be done to ensure its universal adoption?)</w:t>
      </w:r>
    </w:p>
    <w:p w:rsidR="00396AA8" w:rsidRDefault="00396AA8" w:rsidP="00542762">
      <w:pPr>
        <w:rPr>
          <w:i/>
          <w:color w:val="000000"/>
          <w:sz w:val="27"/>
          <w:szCs w:val="27"/>
        </w:rPr>
      </w:pPr>
    </w:p>
    <w:p w:rsidR="00613BAE" w:rsidRPr="00E9247A" w:rsidRDefault="003F7343" w:rsidP="00542762">
      <w:pPr>
        <w:rPr>
          <w:color w:val="000000"/>
        </w:rPr>
      </w:pPr>
      <w:r>
        <w:rPr>
          <w:i/>
          <w:color w:val="000000"/>
          <w:sz w:val="27"/>
          <w:szCs w:val="27"/>
        </w:rPr>
        <w:t>A</w:t>
      </w:r>
      <w:r w:rsidR="00EA472A">
        <w:rPr>
          <w:i/>
          <w:color w:val="000000"/>
          <w:sz w:val="27"/>
          <w:szCs w:val="27"/>
        </w:rPr>
        <w:t xml:space="preserve"> Simple Freedom: The Strong Mind of Robben Island Prisoner No. 468/64, </w:t>
      </w:r>
      <w:r w:rsidR="00EA472A">
        <w:rPr>
          <w:color w:val="000000"/>
          <w:sz w:val="27"/>
          <w:szCs w:val="27"/>
        </w:rPr>
        <w:t xml:space="preserve">by Ahmed Kathrada with Tim Couzens. University Press of Kentucky, 2016. </w:t>
      </w:r>
      <w:r w:rsidR="00EA472A">
        <w:rPr>
          <w:color w:val="000000"/>
        </w:rPr>
        <w:t xml:space="preserve">In June 1964, South Africa’s most visible antiapartheid activists were sentenced to life in prison in the infamous Rivonia Trial. </w:t>
      </w:r>
      <w:r w:rsidR="00EA472A">
        <w:t>These men included Nelson Mandela, Walter Sisulu, Denis Goldberg, and, the youngest of the group, Ahmed Kathrada―or "Kathy," as he was called by his friends. Kathrada spent the better part of the next three decades imprisoned on Robben Island, enduring lengthy stays in solitary confinement, frequent abuse from the guards, and the desperation of "a life stripped bare" within the walls of the prison.</w:t>
      </w:r>
      <w:r w:rsidR="00EA472A">
        <w:br/>
        <w:t xml:space="preserve">During his confinement, Kathrada struggled to occupy his mind, often turning to literature to find solace. Drawing from the prison library's meager book collection, he recorded quotations he considered inspiring and profound, jotting down proverbs, poetry, excerpts from newspapers, and passages from books and magazines. </w:t>
      </w:r>
      <w:r w:rsidR="00EA472A">
        <w:rPr>
          <w:i/>
          <w:iCs/>
        </w:rPr>
        <w:t>A Simple Freedom</w:t>
      </w:r>
      <w:r w:rsidR="00EA472A">
        <w:t xml:space="preserve"> seamlessly weaves this material together with Kathrada's own words describing the 1964 verdict, life in the prison, and his friendships with other activists who shared his fate. Evocatively illustrated with photographs depicting the realities of life on Robben Island, this important, poignant book offers an intimate look at how one of the world's most well-known political activists lived day to day as Prisoner No. 468/64.</w:t>
      </w:r>
    </w:p>
    <w:p w:rsidR="002B5D9A" w:rsidRDefault="002B5D9A" w:rsidP="00542762">
      <w:pPr>
        <w:pStyle w:val="NormalWeb"/>
        <w:spacing w:before="0" w:beforeAutospacing="0" w:after="0" w:afterAutospacing="0"/>
        <w:rPr>
          <w:i/>
          <w:color w:val="000000"/>
          <w:sz w:val="27"/>
          <w:szCs w:val="27"/>
        </w:rPr>
      </w:pPr>
    </w:p>
    <w:p w:rsidR="00183016" w:rsidRDefault="00183016" w:rsidP="00542762">
      <w:pPr>
        <w:jc w:val="center"/>
        <w:rPr>
          <w:b/>
          <w:sz w:val="28"/>
          <w:szCs w:val="28"/>
        </w:rPr>
      </w:pPr>
    </w:p>
    <w:p w:rsidR="00687E79" w:rsidRPr="00676D87" w:rsidRDefault="00F87B56" w:rsidP="00542762">
      <w:pPr>
        <w:jc w:val="center"/>
        <w:rPr>
          <w:b/>
          <w:sz w:val="28"/>
          <w:szCs w:val="28"/>
        </w:rPr>
      </w:pPr>
      <w:r w:rsidRPr="00676D87">
        <w:rPr>
          <w:b/>
          <w:sz w:val="28"/>
          <w:szCs w:val="28"/>
          <w:lang w:val="ja-JP"/>
        </w:rPr>
        <w:lastRenderedPageBreak/>
        <w:t xml:space="preserve">Request books for review from </w:t>
      </w:r>
      <w:r w:rsidR="00623F33" w:rsidRPr="00676D87">
        <w:rPr>
          <w:b/>
          <w:i/>
          <w:sz w:val="28"/>
          <w:szCs w:val="28"/>
        </w:rPr>
        <w:t xml:space="preserve">International Journal </w:t>
      </w:r>
      <w:r w:rsidR="00B751FD" w:rsidRPr="00676D87">
        <w:rPr>
          <w:b/>
          <w:i/>
          <w:sz w:val="28"/>
          <w:szCs w:val="28"/>
        </w:rPr>
        <w:t>on</w:t>
      </w:r>
      <w:r w:rsidR="00623F33" w:rsidRPr="00676D87">
        <w:rPr>
          <w:b/>
          <w:i/>
          <w:sz w:val="28"/>
          <w:szCs w:val="28"/>
        </w:rPr>
        <w:t xml:space="preserve"> World Peace</w:t>
      </w:r>
      <w:r w:rsidR="00623F33" w:rsidRPr="00676D87">
        <w:rPr>
          <w:b/>
          <w:sz w:val="28"/>
          <w:szCs w:val="28"/>
        </w:rPr>
        <w:t xml:space="preserve"> </w:t>
      </w:r>
    </w:p>
    <w:p w:rsidR="00F87B56" w:rsidRPr="00676D87" w:rsidRDefault="00F87B56" w:rsidP="00542762">
      <w:pPr>
        <w:jc w:val="center"/>
        <w:rPr>
          <w:b/>
          <w:sz w:val="28"/>
          <w:szCs w:val="28"/>
        </w:rPr>
      </w:pPr>
      <w:r w:rsidRPr="00676D87">
        <w:rPr>
          <w:b/>
          <w:sz w:val="28"/>
          <w:szCs w:val="28"/>
          <w:lang w:val="ja-JP"/>
        </w:rPr>
        <w:t xml:space="preserve">via email at </w:t>
      </w:r>
      <w:hyperlink r:id="rId7" w:history="1">
        <w:r w:rsidRPr="00676D87">
          <w:rPr>
            <w:b/>
            <w:color w:val="0000FF"/>
            <w:sz w:val="28"/>
            <w:szCs w:val="28"/>
            <w:u w:val="single"/>
            <w:lang w:val="ja-JP"/>
          </w:rPr>
          <w:t>submissions@IJWP.org</w:t>
        </w:r>
      </w:hyperlink>
      <w:r w:rsidRPr="00676D87">
        <w:rPr>
          <w:b/>
          <w:sz w:val="28"/>
          <w:szCs w:val="28"/>
          <w:lang w:val="ja-JP"/>
        </w:rPr>
        <w:t xml:space="preserve">  or</w:t>
      </w:r>
    </w:p>
    <w:p w:rsidR="00F87B56" w:rsidRPr="00676D87" w:rsidRDefault="00F87B56" w:rsidP="00542762">
      <w:pPr>
        <w:jc w:val="center"/>
        <w:rPr>
          <w:b/>
          <w:sz w:val="28"/>
          <w:szCs w:val="28"/>
          <w:lang w:val="ja-JP"/>
        </w:rPr>
      </w:pPr>
    </w:p>
    <w:p w:rsidR="00F87B56" w:rsidRPr="00676D87" w:rsidRDefault="00F87B56" w:rsidP="00542762">
      <w:pPr>
        <w:jc w:val="center"/>
        <w:rPr>
          <w:b/>
          <w:sz w:val="28"/>
          <w:szCs w:val="28"/>
          <w:lang w:val="ja-JP"/>
        </w:rPr>
      </w:pPr>
      <w:r w:rsidRPr="00676D87">
        <w:rPr>
          <w:b/>
          <w:i/>
          <w:iCs/>
          <w:sz w:val="28"/>
          <w:szCs w:val="28"/>
          <w:lang w:val="ja-JP"/>
        </w:rPr>
        <w:t>International Journal on World Peace</w:t>
      </w:r>
    </w:p>
    <w:p w:rsidR="00F87B56" w:rsidRPr="00676D87" w:rsidRDefault="005C0FD0" w:rsidP="00542762">
      <w:pPr>
        <w:jc w:val="center"/>
        <w:rPr>
          <w:b/>
          <w:sz w:val="28"/>
          <w:szCs w:val="28"/>
        </w:rPr>
      </w:pPr>
      <w:r w:rsidRPr="00676D87">
        <w:rPr>
          <w:b/>
          <w:sz w:val="28"/>
          <w:szCs w:val="28"/>
        </w:rPr>
        <w:t>3600 Labore Road, Suite 1</w:t>
      </w:r>
    </w:p>
    <w:p w:rsidR="00F87B56" w:rsidRPr="00676D87" w:rsidRDefault="00F87B56" w:rsidP="00542762">
      <w:pPr>
        <w:jc w:val="center"/>
        <w:rPr>
          <w:b/>
          <w:sz w:val="28"/>
          <w:szCs w:val="28"/>
        </w:rPr>
      </w:pPr>
      <w:r w:rsidRPr="00676D87">
        <w:rPr>
          <w:b/>
          <w:sz w:val="28"/>
          <w:szCs w:val="28"/>
          <w:lang w:val="ja-JP"/>
        </w:rPr>
        <w:t xml:space="preserve">St. Paul, MN </w:t>
      </w:r>
      <w:r w:rsidR="005C0FD0" w:rsidRPr="00676D87">
        <w:rPr>
          <w:b/>
          <w:sz w:val="28"/>
          <w:szCs w:val="28"/>
        </w:rPr>
        <w:t>55110-4144</w:t>
      </w:r>
    </w:p>
    <w:p w:rsidR="00F87B56" w:rsidRPr="00676D87" w:rsidRDefault="00F87B56" w:rsidP="00542762">
      <w:pPr>
        <w:jc w:val="center"/>
        <w:rPr>
          <w:b/>
          <w:sz w:val="28"/>
          <w:szCs w:val="28"/>
          <w:lang w:val="ja-JP"/>
        </w:rPr>
      </w:pPr>
      <w:r w:rsidRPr="00676D87">
        <w:rPr>
          <w:b/>
          <w:sz w:val="28"/>
          <w:szCs w:val="28"/>
          <w:lang w:val="ja-JP"/>
        </w:rPr>
        <w:t>Tel: (651) 644-2809</w:t>
      </w:r>
    </w:p>
    <w:p w:rsidR="00EB2F9A" w:rsidRDefault="00F87B56" w:rsidP="00542762">
      <w:pPr>
        <w:jc w:val="center"/>
        <w:rPr>
          <w:b/>
          <w:sz w:val="28"/>
          <w:szCs w:val="28"/>
        </w:rPr>
      </w:pPr>
      <w:r w:rsidRPr="00676D87">
        <w:rPr>
          <w:b/>
          <w:sz w:val="28"/>
          <w:szCs w:val="28"/>
          <w:lang w:val="ja-JP"/>
        </w:rPr>
        <w:t>Fax: (651) 644-0997</w:t>
      </w:r>
    </w:p>
    <w:p w:rsidR="00BD63E1" w:rsidRPr="00BD63E1" w:rsidRDefault="00BD63E1" w:rsidP="00542762">
      <w:pPr>
        <w:jc w:val="center"/>
        <w:rPr>
          <w:b/>
          <w:sz w:val="28"/>
          <w:szCs w:val="28"/>
        </w:rPr>
      </w:pPr>
    </w:p>
    <w:p w:rsidR="00183016" w:rsidRPr="00BD63E1" w:rsidRDefault="00F62A05" w:rsidP="00542762">
      <w:pPr>
        <w:jc w:val="center"/>
        <w:rPr>
          <w:b/>
          <w:sz w:val="22"/>
          <w:szCs w:val="22"/>
        </w:rPr>
      </w:pPr>
      <w:r w:rsidRPr="00BD63E1">
        <w:rPr>
          <w:b/>
          <w:sz w:val="22"/>
          <w:szCs w:val="22"/>
        </w:rPr>
        <w:t xml:space="preserve">(Descriptions in parentheses are </w:t>
      </w:r>
    </w:p>
    <w:p w:rsidR="00F62A05" w:rsidRPr="00BD63E1" w:rsidRDefault="00F62A05" w:rsidP="00542762">
      <w:pPr>
        <w:jc w:val="center"/>
        <w:rPr>
          <w:b/>
          <w:sz w:val="22"/>
          <w:szCs w:val="22"/>
        </w:rPr>
      </w:pPr>
      <w:r w:rsidRPr="00BD63E1">
        <w:rPr>
          <w:b/>
          <w:sz w:val="22"/>
          <w:szCs w:val="22"/>
        </w:rPr>
        <w:t>from bookseller websites.)</w:t>
      </w:r>
    </w:p>
    <w:sectPr w:rsidR="00F62A05" w:rsidRPr="00BD63E1" w:rsidSect="0039445A">
      <w:footerReference w:type="default" r:id="rId8"/>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59" w:rsidRDefault="00140859" w:rsidP="00823455">
      <w:r>
        <w:separator/>
      </w:r>
    </w:p>
  </w:endnote>
  <w:endnote w:type="continuationSeparator" w:id="0">
    <w:p w:rsidR="00140859" w:rsidRDefault="00140859"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E4" w:rsidRDefault="00140859">
    <w:pPr>
      <w:pStyle w:val="Footer"/>
      <w:jc w:val="right"/>
    </w:pPr>
    <w:r>
      <w:fldChar w:fldCharType="begin"/>
    </w:r>
    <w:r>
      <w:instrText xml:space="preserve"> PAGE   \* MERGEFORMAT </w:instrText>
    </w:r>
    <w:r>
      <w:fldChar w:fldCharType="separate"/>
    </w:r>
    <w:r w:rsidR="008060E7">
      <w:rPr>
        <w:noProof/>
      </w:rPr>
      <w:t>1</w:t>
    </w:r>
    <w:r>
      <w:rPr>
        <w:noProof/>
      </w:rPr>
      <w:fldChar w:fldCharType="end"/>
    </w:r>
  </w:p>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59" w:rsidRDefault="00140859" w:rsidP="00823455">
      <w:r>
        <w:separator/>
      </w:r>
    </w:p>
  </w:footnote>
  <w:footnote w:type="continuationSeparator" w:id="0">
    <w:p w:rsidR="00140859" w:rsidRDefault="00140859" w:rsidP="0082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56"/>
    <w:rsid w:val="0000694A"/>
    <w:rsid w:val="00011537"/>
    <w:rsid w:val="00014DF8"/>
    <w:rsid w:val="00015206"/>
    <w:rsid w:val="00017203"/>
    <w:rsid w:val="0003360E"/>
    <w:rsid w:val="00047D28"/>
    <w:rsid w:val="00057531"/>
    <w:rsid w:val="00062F82"/>
    <w:rsid w:val="00067010"/>
    <w:rsid w:val="0007254E"/>
    <w:rsid w:val="00072CE1"/>
    <w:rsid w:val="0008048E"/>
    <w:rsid w:val="00080783"/>
    <w:rsid w:val="00093B10"/>
    <w:rsid w:val="000A0057"/>
    <w:rsid w:val="000A434F"/>
    <w:rsid w:val="000B157F"/>
    <w:rsid w:val="000B1846"/>
    <w:rsid w:val="000D74E8"/>
    <w:rsid w:val="000E4F1E"/>
    <w:rsid w:val="000E509B"/>
    <w:rsid w:val="000F7002"/>
    <w:rsid w:val="00103657"/>
    <w:rsid w:val="00127A79"/>
    <w:rsid w:val="00140859"/>
    <w:rsid w:val="00153703"/>
    <w:rsid w:val="00156F89"/>
    <w:rsid w:val="00164C64"/>
    <w:rsid w:val="00165B5D"/>
    <w:rsid w:val="00167EEF"/>
    <w:rsid w:val="00172066"/>
    <w:rsid w:val="00173CA6"/>
    <w:rsid w:val="00177EF1"/>
    <w:rsid w:val="00183016"/>
    <w:rsid w:val="0019210E"/>
    <w:rsid w:val="0019331A"/>
    <w:rsid w:val="001C1422"/>
    <w:rsid w:val="001C4380"/>
    <w:rsid w:val="001D0B46"/>
    <w:rsid w:val="001D2E8C"/>
    <w:rsid w:val="001D3D9E"/>
    <w:rsid w:val="001D41F2"/>
    <w:rsid w:val="001E1B00"/>
    <w:rsid w:val="001E6E65"/>
    <w:rsid w:val="00200AFE"/>
    <w:rsid w:val="00210133"/>
    <w:rsid w:val="002139D3"/>
    <w:rsid w:val="00214BD0"/>
    <w:rsid w:val="00223412"/>
    <w:rsid w:val="0024111A"/>
    <w:rsid w:val="002414E3"/>
    <w:rsid w:val="0024479C"/>
    <w:rsid w:val="0025142B"/>
    <w:rsid w:val="002540BE"/>
    <w:rsid w:val="00255210"/>
    <w:rsid w:val="00264448"/>
    <w:rsid w:val="002A320D"/>
    <w:rsid w:val="002A53F3"/>
    <w:rsid w:val="002B5D9A"/>
    <w:rsid w:val="002C35A0"/>
    <w:rsid w:val="002C6406"/>
    <w:rsid w:val="002D5C72"/>
    <w:rsid w:val="002E714F"/>
    <w:rsid w:val="002F11CD"/>
    <w:rsid w:val="002F2DAB"/>
    <w:rsid w:val="0030749B"/>
    <w:rsid w:val="00314CEF"/>
    <w:rsid w:val="0031711B"/>
    <w:rsid w:val="00333BBC"/>
    <w:rsid w:val="0033458C"/>
    <w:rsid w:val="00337D35"/>
    <w:rsid w:val="00342981"/>
    <w:rsid w:val="00350FF1"/>
    <w:rsid w:val="003542CA"/>
    <w:rsid w:val="003736CD"/>
    <w:rsid w:val="00375863"/>
    <w:rsid w:val="003804DC"/>
    <w:rsid w:val="0038173F"/>
    <w:rsid w:val="0038521D"/>
    <w:rsid w:val="003869A0"/>
    <w:rsid w:val="0039393C"/>
    <w:rsid w:val="0039445A"/>
    <w:rsid w:val="00396AA8"/>
    <w:rsid w:val="003B001B"/>
    <w:rsid w:val="003B0E99"/>
    <w:rsid w:val="003C15BD"/>
    <w:rsid w:val="003C5066"/>
    <w:rsid w:val="003D08B9"/>
    <w:rsid w:val="003F7343"/>
    <w:rsid w:val="004004C5"/>
    <w:rsid w:val="00400EE8"/>
    <w:rsid w:val="00400F0B"/>
    <w:rsid w:val="00400FEB"/>
    <w:rsid w:val="00405AF2"/>
    <w:rsid w:val="0040675B"/>
    <w:rsid w:val="0040769A"/>
    <w:rsid w:val="00407BA3"/>
    <w:rsid w:val="00410BCA"/>
    <w:rsid w:val="004310F5"/>
    <w:rsid w:val="00434DB1"/>
    <w:rsid w:val="004429FA"/>
    <w:rsid w:val="004534FC"/>
    <w:rsid w:val="00456269"/>
    <w:rsid w:val="00470792"/>
    <w:rsid w:val="00481352"/>
    <w:rsid w:val="00482594"/>
    <w:rsid w:val="00487CB8"/>
    <w:rsid w:val="004907F3"/>
    <w:rsid w:val="00494008"/>
    <w:rsid w:val="004A3565"/>
    <w:rsid w:val="004C0B8A"/>
    <w:rsid w:val="004C0C10"/>
    <w:rsid w:val="004D7A16"/>
    <w:rsid w:val="00536805"/>
    <w:rsid w:val="005369CC"/>
    <w:rsid w:val="00542762"/>
    <w:rsid w:val="00545933"/>
    <w:rsid w:val="005469AB"/>
    <w:rsid w:val="00554D76"/>
    <w:rsid w:val="00555E0A"/>
    <w:rsid w:val="00560AA5"/>
    <w:rsid w:val="00566EDA"/>
    <w:rsid w:val="00570F69"/>
    <w:rsid w:val="005737F6"/>
    <w:rsid w:val="00574466"/>
    <w:rsid w:val="005807D0"/>
    <w:rsid w:val="00582E7A"/>
    <w:rsid w:val="00584785"/>
    <w:rsid w:val="00591B86"/>
    <w:rsid w:val="005A0557"/>
    <w:rsid w:val="005A13A9"/>
    <w:rsid w:val="005A2F3F"/>
    <w:rsid w:val="005A3525"/>
    <w:rsid w:val="005A6143"/>
    <w:rsid w:val="005B689B"/>
    <w:rsid w:val="005B6B13"/>
    <w:rsid w:val="005C0FD0"/>
    <w:rsid w:val="005D26CA"/>
    <w:rsid w:val="005F68A6"/>
    <w:rsid w:val="006019BF"/>
    <w:rsid w:val="00606C9E"/>
    <w:rsid w:val="00613BAE"/>
    <w:rsid w:val="00615B2B"/>
    <w:rsid w:val="006232FD"/>
    <w:rsid w:val="00623F33"/>
    <w:rsid w:val="006278E6"/>
    <w:rsid w:val="00630923"/>
    <w:rsid w:val="0063638E"/>
    <w:rsid w:val="00642A18"/>
    <w:rsid w:val="006452DF"/>
    <w:rsid w:val="00647149"/>
    <w:rsid w:val="00663398"/>
    <w:rsid w:val="00663449"/>
    <w:rsid w:val="006675AF"/>
    <w:rsid w:val="006709D8"/>
    <w:rsid w:val="00672762"/>
    <w:rsid w:val="0067549E"/>
    <w:rsid w:val="00676D87"/>
    <w:rsid w:val="00683874"/>
    <w:rsid w:val="00687E79"/>
    <w:rsid w:val="00692279"/>
    <w:rsid w:val="006A200E"/>
    <w:rsid w:val="006D2CB2"/>
    <w:rsid w:val="006E4BF5"/>
    <w:rsid w:val="006F3370"/>
    <w:rsid w:val="006F4D6F"/>
    <w:rsid w:val="00704487"/>
    <w:rsid w:val="007242F3"/>
    <w:rsid w:val="00753FB1"/>
    <w:rsid w:val="0075495D"/>
    <w:rsid w:val="00756A89"/>
    <w:rsid w:val="0077108E"/>
    <w:rsid w:val="007731BB"/>
    <w:rsid w:val="00776319"/>
    <w:rsid w:val="0079435B"/>
    <w:rsid w:val="00795B01"/>
    <w:rsid w:val="00796DFF"/>
    <w:rsid w:val="007B00D5"/>
    <w:rsid w:val="007B5B7E"/>
    <w:rsid w:val="007D0BC7"/>
    <w:rsid w:val="008060E7"/>
    <w:rsid w:val="00812AEF"/>
    <w:rsid w:val="00823455"/>
    <w:rsid w:val="008409D3"/>
    <w:rsid w:val="00845277"/>
    <w:rsid w:val="00847DED"/>
    <w:rsid w:val="008566BF"/>
    <w:rsid w:val="00856B55"/>
    <w:rsid w:val="00874FA8"/>
    <w:rsid w:val="00890596"/>
    <w:rsid w:val="00896B4E"/>
    <w:rsid w:val="008A5EEE"/>
    <w:rsid w:val="008B0DC5"/>
    <w:rsid w:val="008B404C"/>
    <w:rsid w:val="008B6D6A"/>
    <w:rsid w:val="008D14A9"/>
    <w:rsid w:val="008D675D"/>
    <w:rsid w:val="008E118F"/>
    <w:rsid w:val="008E4E08"/>
    <w:rsid w:val="008E6679"/>
    <w:rsid w:val="008F2686"/>
    <w:rsid w:val="009016AD"/>
    <w:rsid w:val="00906C1E"/>
    <w:rsid w:val="009135FE"/>
    <w:rsid w:val="00923E14"/>
    <w:rsid w:val="00934CA5"/>
    <w:rsid w:val="00947F23"/>
    <w:rsid w:val="009567C8"/>
    <w:rsid w:val="00957BA5"/>
    <w:rsid w:val="00960061"/>
    <w:rsid w:val="00970715"/>
    <w:rsid w:val="00971B2F"/>
    <w:rsid w:val="009862E9"/>
    <w:rsid w:val="009A02B2"/>
    <w:rsid w:val="009A1150"/>
    <w:rsid w:val="009A509E"/>
    <w:rsid w:val="009A7482"/>
    <w:rsid w:val="009B5826"/>
    <w:rsid w:val="009C471D"/>
    <w:rsid w:val="009C52FC"/>
    <w:rsid w:val="009E59FC"/>
    <w:rsid w:val="009E612B"/>
    <w:rsid w:val="009F022E"/>
    <w:rsid w:val="009F0558"/>
    <w:rsid w:val="00A17887"/>
    <w:rsid w:val="00A42A2C"/>
    <w:rsid w:val="00A60111"/>
    <w:rsid w:val="00A64B0B"/>
    <w:rsid w:val="00A84AE4"/>
    <w:rsid w:val="00A90A30"/>
    <w:rsid w:val="00AA37A2"/>
    <w:rsid w:val="00AB3474"/>
    <w:rsid w:val="00AB6C1A"/>
    <w:rsid w:val="00AB7E33"/>
    <w:rsid w:val="00AD1735"/>
    <w:rsid w:val="00AD2FA1"/>
    <w:rsid w:val="00AD688E"/>
    <w:rsid w:val="00AE482E"/>
    <w:rsid w:val="00AE4C71"/>
    <w:rsid w:val="00AE5244"/>
    <w:rsid w:val="00B0520A"/>
    <w:rsid w:val="00B17BE5"/>
    <w:rsid w:val="00B20093"/>
    <w:rsid w:val="00B32356"/>
    <w:rsid w:val="00B372CC"/>
    <w:rsid w:val="00B37F52"/>
    <w:rsid w:val="00B40640"/>
    <w:rsid w:val="00B41D10"/>
    <w:rsid w:val="00B47FDD"/>
    <w:rsid w:val="00B60D8C"/>
    <w:rsid w:val="00B61C2C"/>
    <w:rsid w:val="00B751FD"/>
    <w:rsid w:val="00B82C5B"/>
    <w:rsid w:val="00B8755C"/>
    <w:rsid w:val="00B94526"/>
    <w:rsid w:val="00B97483"/>
    <w:rsid w:val="00BA2C6B"/>
    <w:rsid w:val="00BB0288"/>
    <w:rsid w:val="00BB7594"/>
    <w:rsid w:val="00BD0AB4"/>
    <w:rsid w:val="00BD5F38"/>
    <w:rsid w:val="00BD63E1"/>
    <w:rsid w:val="00BD737C"/>
    <w:rsid w:val="00BE4F0C"/>
    <w:rsid w:val="00BE736A"/>
    <w:rsid w:val="00C13323"/>
    <w:rsid w:val="00C31E1B"/>
    <w:rsid w:val="00C413DD"/>
    <w:rsid w:val="00C43A74"/>
    <w:rsid w:val="00C6516D"/>
    <w:rsid w:val="00C66442"/>
    <w:rsid w:val="00C7504C"/>
    <w:rsid w:val="00C76113"/>
    <w:rsid w:val="00C847F4"/>
    <w:rsid w:val="00C90F7C"/>
    <w:rsid w:val="00C924B9"/>
    <w:rsid w:val="00C94728"/>
    <w:rsid w:val="00CB0AE8"/>
    <w:rsid w:val="00CE656B"/>
    <w:rsid w:val="00CF3689"/>
    <w:rsid w:val="00CF6014"/>
    <w:rsid w:val="00D22145"/>
    <w:rsid w:val="00D22172"/>
    <w:rsid w:val="00D22D6E"/>
    <w:rsid w:val="00D2753E"/>
    <w:rsid w:val="00D324B7"/>
    <w:rsid w:val="00D33985"/>
    <w:rsid w:val="00D43984"/>
    <w:rsid w:val="00D4501A"/>
    <w:rsid w:val="00D50DD7"/>
    <w:rsid w:val="00D51AE4"/>
    <w:rsid w:val="00D52F03"/>
    <w:rsid w:val="00D60FBF"/>
    <w:rsid w:val="00D67AD1"/>
    <w:rsid w:val="00D70FA9"/>
    <w:rsid w:val="00D71ABD"/>
    <w:rsid w:val="00D80AA8"/>
    <w:rsid w:val="00D825FA"/>
    <w:rsid w:val="00D8449A"/>
    <w:rsid w:val="00D934D9"/>
    <w:rsid w:val="00DA36AA"/>
    <w:rsid w:val="00DA518E"/>
    <w:rsid w:val="00DB71A1"/>
    <w:rsid w:val="00DB75E7"/>
    <w:rsid w:val="00DC0F13"/>
    <w:rsid w:val="00DC0F95"/>
    <w:rsid w:val="00DC15CB"/>
    <w:rsid w:val="00DD395B"/>
    <w:rsid w:val="00DE1CE7"/>
    <w:rsid w:val="00DE677D"/>
    <w:rsid w:val="00DF011E"/>
    <w:rsid w:val="00E02F1F"/>
    <w:rsid w:val="00E035AA"/>
    <w:rsid w:val="00E0694B"/>
    <w:rsid w:val="00E10218"/>
    <w:rsid w:val="00E20003"/>
    <w:rsid w:val="00E208DD"/>
    <w:rsid w:val="00E20CBC"/>
    <w:rsid w:val="00E26C46"/>
    <w:rsid w:val="00E317FA"/>
    <w:rsid w:val="00E846A4"/>
    <w:rsid w:val="00E903F7"/>
    <w:rsid w:val="00E9247A"/>
    <w:rsid w:val="00EA1AE7"/>
    <w:rsid w:val="00EA472A"/>
    <w:rsid w:val="00EB2F9A"/>
    <w:rsid w:val="00EB69AE"/>
    <w:rsid w:val="00EE3C7B"/>
    <w:rsid w:val="00EE4C54"/>
    <w:rsid w:val="00EF717A"/>
    <w:rsid w:val="00EF76D3"/>
    <w:rsid w:val="00F07226"/>
    <w:rsid w:val="00F10187"/>
    <w:rsid w:val="00F20F48"/>
    <w:rsid w:val="00F34F68"/>
    <w:rsid w:val="00F37746"/>
    <w:rsid w:val="00F45A50"/>
    <w:rsid w:val="00F62A05"/>
    <w:rsid w:val="00F6442E"/>
    <w:rsid w:val="00F712CD"/>
    <w:rsid w:val="00F72317"/>
    <w:rsid w:val="00F72719"/>
    <w:rsid w:val="00F735C0"/>
    <w:rsid w:val="00F73AF3"/>
    <w:rsid w:val="00F74C31"/>
    <w:rsid w:val="00F74F08"/>
    <w:rsid w:val="00F87B56"/>
    <w:rsid w:val="00F95622"/>
    <w:rsid w:val="00F963D0"/>
    <w:rsid w:val="00FB381E"/>
    <w:rsid w:val="00FB3914"/>
    <w:rsid w:val="00FB6AC2"/>
    <w:rsid w:val="00FC0785"/>
    <w:rsid w:val="00FC1816"/>
    <w:rsid w:val="00FC1EC5"/>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AAF71-FD71-4D6C-903D-DDCC0B0D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missions@IJW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84CC1-4318-4AFA-9F3D-03916733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Gordon Anderson</cp:lastModifiedBy>
  <cp:revision>2</cp:revision>
  <cp:lastPrinted>2016-12-02T17:45:00Z</cp:lastPrinted>
  <dcterms:created xsi:type="dcterms:W3CDTF">2017-04-25T13:58:00Z</dcterms:created>
  <dcterms:modified xsi:type="dcterms:W3CDTF">2017-04-25T13:58:00Z</dcterms:modified>
</cp:coreProperties>
</file>