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87E79" w:rsidRDefault="00057531" w:rsidP="00F87B56">
      <w:pPr>
        <w:rPr>
          <w:sz w:val="32"/>
          <w:szCs w:val="32"/>
        </w:rPr>
      </w:pPr>
      <w:r>
        <w:rPr>
          <w:sz w:val="24"/>
          <w:szCs w:val="24"/>
          <w:lang w:val="en-CA"/>
        </w:rPr>
        <w:fldChar w:fldCharType="begin"/>
      </w:r>
      <w:r w:rsidR="00F87B56">
        <w:rPr>
          <w:sz w:val="24"/>
          <w:szCs w:val="24"/>
          <w:lang w:val="en-CA"/>
        </w:rPr>
        <w:instrText xml:space="preserve"> SEQ CHAPTER \h \r 1</w:instrText>
      </w:r>
      <w:r>
        <w:rPr>
          <w:sz w:val="24"/>
          <w:szCs w:val="24"/>
          <w:lang w:val="en-CA"/>
        </w:rPr>
        <w:fldChar w:fldCharType="end"/>
      </w:r>
      <w:r w:rsidR="00687E79">
        <w:rPr>
          <w:sz w:val="32"/>
          <w:szCs w:val="32"/>
          <w:lang w:val="ja-JP"/>
        </w:rPr>
        <w:t xml:space="preserve">Books </w:t>
      </w:r>
      <w:r w:rsidR="00687E79">
        <w:rPr>
          <w:sz w:val="32"/>
          <w:szCs w:val="32"/>
        </w:rPr>
        <w:t>a</w:t>
      </w:r>
      <w:r w:rsidR="00687E79">
        <w:rPr>
          <w:sz w:val="32"/>
          <w:szCs w:val="32"/>
          <w:lang w:val="ja-JP"/>
        </w:rPr>
        <w:t xml:space="preserve">vailable for </w:t>
      </w:r>
      <w:r w:rsidR="00687E79">
        <w:rPr>
          <w:sz w:val="32"/>
          <w:szCs w:val="32"/>
        </w:rPr>
        <w:t>r</w:t>
      </w:r>
      <w:r w:rsidR="00F87B56">
        <w:rPr>
          <w:sz w:val="32"/>
          <w:szCs w:val="32"/>
          <w:lang w:val="ja-JP"/>
        </w:rPr>
        <w:t xml:space="preserve">eview for </w:t>
      </w:r>
    </w:p>
    <w:p w:rsidR="00F87B56" w:rsidRPr="00687E79" w:rsidRDefault="0039445A" w:rsidP="00F87B56">
      <w:pPr>
        <w:rPr>
          <w:b/>
          <w:sz w:val="24"/>
          <w:szCs w:val="24"/>
        </w:rPr>
      </w:pPr>
      <w:r w:rsidRPr="00687E79">
        <w:rPr>
          <w:b/>
          <w:i/>
          <w:sz w:val="32"/>
          <w:szCs w:val="32"/>
        </w:rPr>
        <w:t>International Journal on World Peace</w:t>
      </w:r>
      <w:r w:rsidRPr="00687E79">
        <w:rPr>
          <w:b/>
          <w:sz w:val="32"/>
          <w:szCs w:val="32"/>
        </w:rPr>
        <w:t xml:space="preserve"> (</w:t>
      </w:r>
      <w:r w:rsidR="00F87B56" w:rsidRPr="00687E79">
        <w:rPr>
          <w:b/>
          <w:i/>
          <w:iCs/>
          <w:sz w:val="32"/>
          <w:szCs w:val="32"/>
          <w:lang w:val="ja-JP"/>
        </w:rPr>
        <w:t>IJWP</w:t>
      </w:r>
      <w:r w:rsidR="00F87B56" w:rsidRPr="00687E79">
        <w:rPr>
          <w:b/>
          <w:sz w:val="32"/>
          <w:szCs w:val="32"/>
          <w:lang w:val="ja-JP"/>
        </w:rPr>
        <w:t xml:space="preserve"> </w:t>
      </w:r>
      <w:r w:rsidRPr="00687E79">
        <w:rPr>
          <w:b/>
          <w:sz w:val="32"/>
          <w:szCs w:val="32"/>
        </w:rPr>
        <w:t>)</w:t>
      </w:r>
    </w:p>
    <w:p w:rsidR="00613BAE" w:rsidRDefault="002B5D9A" w:rsidP="00E9247A">
      <w:pPr>
        <w:jc w:val="both"/>
        <w:rPr>
          <w:i/>
          <w:iCs/>
        </w:rPr>
      </w:pPr>
      <w:r>
        <w:rPr>
          <w:sz w:val="18"/>
          <w:szCs w:val="18"/>
        </w:rPr>
        <w:t>10/20/16</w:t>
      </w:r>
      <w:r w:rsidR="00F87B56">
        <w:rPr>
          <w:i/>
          <w:iCs/>
          <w:lang w:val="ja-JP"/>
        </w:rPr>
        <w:tab/>
      </w:r>
      <w:r w:rsidR="00F87B56">
        <w:rPr>
          <w:i/>
          <w:iCs/>
          <w:lang w:val="ja-JP"/>
        </w:rPr>
        <w:tab/>
      </w:r>
    </w:p>
    <w:p w:rsidR="00E9247A" w:rsidRDefault="00E9247A" w:rsidP="00E9247A">
      <w:pPr>
        <w:jc w:val="both"/>
        <w:rPr>
          <w:i/>
          <w:iCs/>
        </w:rPr>
      </w:pPr>
    </w:p>
    <w:p w:rsidR="0019210E" w:rsidRDefault="0019210E" w:rsidP="00E317FA"/>
    <w:p w:rsidR="006A200E" w:rsidRPr="00173CA6" w:rsidRDefault="006A200E" w:rsidP="0019210E">
      <w:pPr>
        <w:rPr>
          <w:color w:val="000000"/>
          <w:sz w:val="27"/>
          <w:szCs w:val="27"/>
        </w:rPr>
      </w:pPr>
      <w:r>
        <w:rPr>
          <w:i/>
          <w:color w:val="000000"/>
          <w:sz w:val="27"/>
          <w:szCs w:val="27"/>
        </w:rPr>
        <w:t xml:space="preserve">Criminalized Power Structures: The Overflooked Enemies of Peace. </w:t>
      </w:r>
      <w:r>
        <w:rPr>
          <w:color w:val="000000"/>
          <w:sz w:val="27"/>
          <w:szCs w:val="27"/>
        </w:rPr>
        <w:t xml:space="preserve">Edited by Michael Dziedzic. Rowman and Littlefield, 2016. </w:t>
      </w:r>
      <w:r w:rsidR="00173CA6">
        <w:rPr>
          <w:color w:val="000000"/>
          <w:sz w:val="27"/>
          <w:szCs w:val="27"/>
        </w:rPr>
        <w:t xml:space="preserve"> (</w:t>
      </w:r>
      <w:r>
        <w:t>Criminalized power structures (CPS) are illicit networks that profit from transactions in black markets and from criminalized state institutions while perpetuating a culture of impunity. The book articulates a typology for assessing the threats of CPS and for implementing appropriate strategies to achieve sustainable peace effectively and efficiently. The international case studies address interventions undertaken either to support the implementation of a peace agreement (i.e., a peace operation) or to stabilize a country entangled in an internal conflict in the context of a power-sharing agreement among key protagonists (i.e., a stability operation). In each of these cases, at least one of the parties to the agreement was a criminalized power structure that was a leading spoiler. The final chapter identifies strategies that are most effective for each type of CPS, including the ways and means (or tools) required for effective conflict transformation.</w:t>
      </w:r>
      <w:r w:rsidR="00173CA6">
        <w:t>)</w:t>
      </w:r>
    </w:p>
    <w:p w:rsidR="006A200E" w:rsidRDefault="006A200E" w:rsidP="0019210E">
      <w:pPr>
        <w:rPr>
          <w:color w:val="000000"/>
          <w:sz w:val="27"/>
          <w:szCs w:val="27"/>
        </w:rPr>
      </w:pPr>
    </w:p>
    <w:p w:rsidR="002B5D9A" w:rsidRDefault="002B5D9A" w:rsidP="0019210E">
      <w:pPr>
        <w:rPr>
          <w:color w:val="000000"/>
          <w:sz w:val="27"/>
          <w:szCs w:val="27"/>
        </w:rPr>
      </w:pPr>
    </w:p>
    <w:p w:rsidR="0019210E" w:rsidRPr="00D80AA8" w:rsidRDefault="0019210E" w:rsidP="0019210E">
      <w:pPr>
        <w:rPr>
          <w:color w:val="000000"/>
          <w:sz w:val="27"/>
          <w:szCs w:val="27"/>
        </w:rPr>
      </w:pPr>
      <w:r>
        <w:rPr>
          <w:i/>
          <w:color w:val="000000"/>
          <w:sz w:val="27"/>
          <w:szCs w:val="27"/>
        </w:rPr>
        <w:t>Democracy for Realists: Why Elections Do Not Produce Responsive Government</w:t>
      </w:r>
      <w:r w:rsidRPr="00482594">
        <w:rPr>
          <w:color w:val="000000"/>
          <w:sz w:val="27"/>
          <w:szCs w:val="27"/>
        </w:rPr>
        <w:t xml:space="preserve">, by </w:t>
      </w:r>
      <w:r>
        <w:rPr>
          <w:color w:val="000000"/>
          <w:sz w:val="27"/>
          <w:szCs w:val="27"/>
        </w:rPr>
        <w:t>Chbristopher H. Achen and Larry M.Bartels. Princeton University Press, 2016</w:t>
      </w:r>
      <w:r w:rsidRPr="00482594">
        <w:rPr>
          <w:color w:val="000000"/>
          <w:sz w:val="27"/>
          <w:szCs w:val="27"/>
        </w:rPr>
        <w:t>.</w:t>
      </w:r>
      <w:r>
        <w:rPr>
          <w:color w:val="000000"/>
          <w:sz w:val="27"/>
          <w:szCs w:val="27"/>
        </w:rPr>
        <w:t xml:space="preserve"> </w:t>
      </w:r>
      <w:r w:rsidRPr="00845277">
        <w:rPr>
          <w:color w:val="000000"/>
        </w:rPr>
        <w:t>(E</w:t>
      </w:r>
      <w:r w:rsidRPr="00845277">
        <w:t>ncourages analytical and careful examination of practical homeland security problems through the presentation of contemporary cases involving major state or national events. Case studies demonstrate the complexity of challenges within the domain of homeland security policy and administration. Editors James D. Ramsay and Linda Kiltz carefully curated fourteen cases, all from top scholars and practitioners, to cover a broad range of legal, policy, and operational challenges within the field of homeland security. Timely and interesting cases on such issues as arctic security, the use of drones in targeted killings, cyber security, and the emergency management lessons of the 2010 Haiti earthquake give students a deeper understanding of the relationship between the theories and the practices of homeland security</w:t>
      </w:r>
      <w:r>
        <w:t>)</w:t>
      </w:r>
      <w:r w:rsidRPr="00845277">
        <w:t>.</w:t>
      </w:r>
    </w:p>
    <w:p w:rsidR="00AD1735" w:rsidRDefault="00AD1735" w:rsidP="00E317FA">
      <w:pPr>
        <w:rPr>
          <w:i/>
          <w:sz w:val="27"/>
          <w:szCs w:val="27"/>
        </w:rPr>
      </w:pPr>
    </w:p>
    <w:p w:rsidR="002B5D9A" w:rsidRDefault="002B5D9A" w:rsidP="00E317FA">
      <w:pPr>
        <w:rPr>
          <w:i/>
          <w:sz w:val="27"/>
          <w:szCs w:val="27"/>
        </w:rPr>
      </w:pPr>
    </w:p>
    <w:p w:rsidR="005A2F3F" w:rsidRDefault="005A2F3F" w:rsidP="00E317FA">
      <w:r w:rsidRPr="0067549E">
        <w:rPr>
          <w:i/>
          <w:sz w:val="27"/>
          <w:szCs w:val="27"/>
        </w:rPr>
        <w:t>International Conflict Analysis in South Asia: A Study of Sectarian Violence in Pakistan</w:t>
      </w:r>
      <w:r>
        <w:rPr>
          <w:sz w:val="27"/>
          <w:szCs w:val="27"/>
        </w:rPr>
        <w:t xml:space="preserve"> by Safeer Tariq Bhatti, University Press of America, 2016. </w:t>
      </w:r>
      <w:r>
        <w:t>(</w:t>
      </w:r>
      <w:r>
        <w:rPr>
          <w:i/>
          <w:iCs/>
        </w:rPr>
        <w:t xml:space="preserve">International Conflict Analysis in South Asia: A Study of Sectarian Violence in Pakistan </w:t>
      </w:r>
      <w:r>
        <w:t>analyzes the ideological relationship of the Muslim identity to its perceived practice of Islam among the Shia and Deobandi sects. A Muslim identity, defined as the parameters of who is and who isn’t a Muslim has led to the political conundrum of Pakistan to an anticipated single interpretation of Islam causing severe sectarian violence across the country. Sectarianism has been rooted in Pakistan’s affairs since 1953, but most recently the country has been victimized by political and sectarian Islamic movements. The collective mobilization and propaganda campaigns of these movements have led exclusion of certain religious minorities and their practices. The study takes root in Punjab Pakistan among twenty seven interviews where the Deobandi sect and the Shia sect face severe fatalities and undefined conflict.)</w:t>
      </w:r>
    </w:p>
    <w:p w:rsidR="00E208DD" w:rsidRDefault="00E208DD" w:rsidP="00E317FA"/>
    <w:p w:rsidR="00E208DD" w:rsidRDefault="00E208DD" w:rsidP="00E317FA">
      <w:r>
        <w:rPr>
          <w:i/>
          <w:sz w:val="27"/>
          <w:szCs w:val="27"/>
        </w:rPr>
        <w:t>Left of Boom: How a Young CIA Case Officer Penetratedd the Taliban and Al-Qaeda</w:t>
      </w:r>
      <w:r>
        <w:rPr>
          <w:sz w:val="27"/>
          <w:szCs w:val="27"/>
        </w:rPr>
        <w:t xml:space="preserve"> by Douglas Laux and Ralph Pezzullo, St. Martin’s  Press, 2016. </w:t>
      </w:r>
      <w:r>
        <w:t>(On September 11, 2001, Doug Laux was a freshman in college, on the path to becoming a doctor. But with the fall of the Twin Towers came a turning point in his life. After graduating he joined the Central Intelligence Agency, determined to get himself to Afghanistan and into the center of the action. Through persistence and hard work he was fast-tracked to a clandestine operations position overseas. Dropped into a remote region of Afghanistan, he received his baptism by fire. Frustrated by bureaucratic red tape, a widespread lack of knowledge of the local customs and culture and an attitude of complacency that hindered his ability to combat the local Taliban, Doug confounded his peers by dressing like a native and mastering the local dialect, making contact and building sources within several deadly terrorist networks. His new approach resulted in unprecedented successes, including uncovering the largest IED network in the world, responsible for killing hundreds of US soldiers. Meanwhile, Doug had to keep up false pretenses with his family, girlfriend</w:t>
      </w:r>
      <w:r w:rsidR="003F7343">
        <w:t>,</w:t>
      </w:r>
      <w:r>
        <w:t xml:space="preserve"> and friends--nobody could know what he did for a living--and deal with the emotional turbulence of constantly living a lie. His double life was building to an explosive resolution, with repercussions that would have far reaching consequences.)</w:t>
      </w:r>
    </w:p>
    <w:p w:rsidR="00482594" w:rsidRDefault="00482594" w:rsidP="00E317FA">
      <w:pPr>
        <w:rPr>
          <w:color w:val="000000"/>
          <w:sz w:val="27"/>
          <w:szCs w:val="27"/>
        </w:rPr>
      </w:pPr>
    </w:p>
    <w:p w:rsidR="002B5D9A" w:rsidRDefault="002B5D9A" w:rsidP="00E317FA">
      <w:pPr>
        <w:rPr>
          <w:color w:val="000000"/>
          <w:sz w:val="27"/>
          <w:szCs w:val="27"/>
        </w:rPr>
      </w:pPr>
    </w:p>
    <w:p w:rsidR="0067549E" w:rsidRDefault="0067549E" w:rsidP="00E317FA">
      <w:pPr>
        <w:rPr>
          <w:i/>
          <w:color w:val="000000"/>
          <w:sz w:val="27"/>
          <w:szCs w:val="27"/>
        </w:rPr>
      </w:pPr>
      <w:r>
        <w:rPr>
          <w:i/>
          <w:color w:val="000000"/>
          <w:sz w:val="27"/>
          <w:szCs w:val="27"/>
        </w:rPr>
        <w:t>Mainstreaming Pacifism: Conflict, Success, and Ethics</w:t>
      </w:r>
      <w:r>
        <w:rPr>
          <w:color w:val="000000"/>
          <w:sz w:val="27"/>
          <w:szCs w:val="27"/>
        </w:rPr>
        <w:t xml:space="preserve"> by Sara Trovato. Lexington Books, 2016. </w:t>
      </w:r>
      <w:r>
        <w:rPr>
          <w:i/>
          <w:iCs/>
        </w:rPr>
        <w:t>(Mainstreaming Pacifism. Conflict, success, and ethics</w:t>
      </w:r>
      <w:r>
        <w:t xml:space="preserve"> takes on the challenge of answering the widespread objection that pacifism is ineffective. The book proposes a classification of 11 effectual means to an end (fraud, violence, force, gain, legality, masses, ideology, dialogue, humanity, time, vulnerability), and shows how such means have been at work both in the pages of classical political authors (Machiavelli, Montesquieu, Marx and Gandhi) and throughout history.) </w:t>
      </w:r>
      <w:r>
        <w:rPr>
          <w:i/>
          <w:color w:val="000000"/>
          <w:sz w:val="27"/>
          <w:szCs w:val="27"/>
        </w:rPr>
        <w:t xml:space="preserve"> </w:t>
      </w:r>
    </w:p>
    <w:p w:rsidR="00613BAE" w:rsidRDefault="00613BAE" w:rsidP="00AD688E">
      <w:pPr>
        <w:rPr>
          <w:i/>
          <w:color w:val="000000"/>
          <w:sz w:val="27"/>
          <w:szCs w:val="27"/>
        </w:rPr>
      </w:pPr>
    </w:p>
    <w:p w:rsidR="00AD1735" w:rsidRDefault="00AD1735" w:rsidP="00E317FA">
      <w:pPr>
        <w:rPr>
          <w:i/>
          <w:sz w:val="27"/>
          <w:szCs w:val="27"/>
        </w:rPr>
      </w:pPr>
    </w:p>
    <w:p w:rsidR="002B5D9A" w:rsidRDefault="002B5D9A" w:rsidP="00E317FA">
      <w:r>
        <w:rPr>
          <w:i/>
          <w:sz w:val="27"/>
          <w:szCs w:val="27"/>
        </w:rPr>
        <w:t xml:space="preserve">Rethinking the Oceans: Towards the Blue Economy, </w:t>
      </w:r>
      <w:r>
        <w:rPr>
          <w:sz w:val="27"/>
          <w:szCs w:val="27"/>
        </w:rPr>
        <w:t>by James Alix Michel. Paragon House, 2016.  (</w:t>
      </w:r>
      <w:r>
        <w:t>The world has come to a crossroads. By the end of this century the total population is expected to exceed ten billion, but the area of land to support this is finite. Indeed, with climate change, some of the most valuable land areas will be lost, much of it as a result of rising sea levels. To sustain life on earth, new ways have to be found to grow food, generate energy, and conserve the environment on which our future depends. Fortunately, when faced with a challenge of such consequence, people prove to be remarkably inventive. In this case, solutions are by no means beyond reach. We can start, quite simply, by looking out to sea. There, stretching to the horizon, lies the future. Remarkably, the oceans cover two and a half times the extent of terra firma. Yet we have always taken far less interest in the sea than the land. But what if we change our thinking? Instead of continuing to see the land as our future, suppose we put our trust in the sea. For solutions to some of the earth's most pressing problems, the oceans may be our salvation, the source of untapped economic wealth. Within these waters can be found the elements of what is now widely known as the Blue Economy, the new frontier for human development. It is a twenty-first century concept to meet a twenty-first century challenge. This book explores all aspects of the Blue Economy. Where does the idea come from? What does it include? How can it transform traditional economies? Can it be sustainable? And what needs to be done to ensure its universal adoption?)</w:t>
      </w:r>
    </w:p>
    <w:p w:rsidR="002B5D9A" w:rsidRDefault="002B5D9A" w:rsidP="00E317FA"/>
    <w:p w:rsidR="002B5D9A" w:rsidRDefault="002B5D9A" w:rsidP="00E317FA"/>
    <w:p w:rsidR="00D51AE4" w:rsidRDefault="00D51AE4" w:rsidP="00E317FA">
      <w:r>
        <w:rPr>
          <w:i/>
          <w:sz w:val="27"/>
          <w:szCs w:val="27"/>
        </w:rPr>
        <w:t xml:space="preserve">The Revolt of 1916 in Russian Central Asia, </w:t>
      </w:r>
      <w:r>
        <w:rPr>
          <w:sz w:val="27"/>
          <w:szCs w:val="27"/>
        </w:rPr>
        <w:t>by Edward Dennis Sokol. John</w:t>
      </w:r>
      <w:r w:rsidR="00847DED">
        <w:rPr>
          <w:sz w:val="27"/>
          <w:szCs w:val="27"/>
        </w:rPr>
        <w:t>s</w:t>
      </w:r>
      <w:r>
        <w:rPr>
          <w:sz w:val="27"/>
          <w:szCs w:val="27"/>
        </w:rPr>
        <w:t xml:space="preserve"> Hopkins University Press, 1954, 2016. </w:t>
      </w:r>
      <w:r w:rsidR="00D33985">
        <w:rPr>
          <w:sz w:val="27"/>
          <w:szCs w:val="27"/>
        </w:rPr>
        <w:t>(</w:t>
      </w:r>
      <w:r>
        <w:t xml:space="preserve">During the summer of 1916, approximately 270,000 Central Asians – Kazakhs, Kyrgyz, Tajiks, Turkmen, and Ubeks – perished at the hands of the Russian army in a revolt that began with the resistance of the Tsar’s World War I draft. Besides those killed outright, tens of thousands of men, women, and children died while trying to escape over treacherous mountain passes into China. Experts calculate that Kyrgyz, who suffered most heavily, lost 40% of their total population. </w:t>
      </w:r>
    </w:p>
    <w:p w:rsidR="00D51AE4" w:rsidRPr="00D51AE4" w:rsidRDefault="00D51AE4" w:rsidP="00D51AE4">
      <w:pPr>
        <w:pStyle w:val="NormalWeb"/>
        <w:spacing w:before="0" w:beforeAutospacing="0" w:after="0" w:afterAutospacing="0"/>
        <w:rPr>
          <w:sz w:val="20"/>
          <w:szCs w:val="20"/>
        </w:rPr>
      </w:pPr>
      <w:r w:rsidRPr="00D51AE4">
        <w:rPr>
          <w:sz w:val="20"/>
          <w:szCs w:val="20"/>
        </w:rPr>
        <w:t xml:space="preserve">This horrific incident was nearly lost to history. During the Soviet era, the massacre of 1916 became a taboo subject, hidden in sealed archives and banished from history books. Edward Dennis Sokol’s pioneering </w:t>
      </w:r>
      <w:r w:rsidRPr="00D51AE4">
        <w:rPr>
          <w:i/>
          <w:iCs/>
          <w:sz w:val="20"/>
          <w:szCs w:val="20"/>
        </w:rPr>
        <w:t>Revolt of 1916 in Russian Central Asia</w:t>
      </w:r>
      <w:r w:rsidRPr="00D51AE4">
        <w:rPr>
          <w:sz w:val="20"/>
          <w:szCs w:val="20"/>
        </w:rPr>
        <w:t xml:space="preserve">, published in 1954 and reissued now for the first time in decades, was for generations the only scholarly study of the massacre in any language. Drawing on early Soviet periodicals, including </w:t>
      </w:r>
      <w:r w:rsidRPr="00D51AE4">
        <w:rPr>
          <w:i/>
          <w:iCs/>
          <w:sz w:val="20"/>
          <w:szCs w:val="20"/>
        </w:rPr>
        <w:t>Krasnyi Arkhiv</w:t>
      </w:r>
      <w:r w:rsidRPr="00D51AE4">
        <w:rPr>
          <w:sz w:val="20"/>
          <w:szCs w:val="20"/>
        </w:rPr>
        <w:t xml:space="preserve"> ( </w:t>
      </w:r>
      <w:r w:rsidRPr="00D51AE4">
        <w:rPr>
          <w:i/>
          <w:iCs/>
          <w:sz w:val="20"/>
          <w:szCs w:val="20"/>
        </w:rPr>
        <w:t>The Red Archive</w:t>
      </w:r>
      <w:r w:rsidRPr="00D51AE4">
        <w:rPr>
          <w:sz w:val="20"/>
          <w:szCs w:val="20"/>
        </w:rPr>
        <w:t xml:space="preserve">), Sokol’s wide-ranging and exhaustively researched work explores the Tsarist policies that led to Russian encroachment against the land and rights of the indigenous Central Asian people. It describes the corruption that permeated Russian colonial rule and argues that the uprising was no mere draft riot, but a revolt against Tsarist colonialism in all its dimensions: economic, political, religious, and national. Sokol’s masterpiece also traces the chain reaction between the uprising, the collapse of Tsarism, and the Bolshevik Revolution. </w:t>
      </w:r>
    </w:p>
    <w:p w:rsidR="004429FA" w:rsidRPr="003F7343" w:rsidRDefault="00D51AE4" w:rsidP="003F7343">
      <w:pPr>
        <w:pStyle w:val="NormalWeb"/>
        <w:spacing w:before="0" w:beforeAutospacing="0" w:after="0" w:afterAutospacing="0"/>
        <w:rPr>
          <w:sz w:val="20"/>
          <w:szCs w:val="20"/>
        </w:rPr>
      </w:pPr>
      <w:r w:rsidRPr="00D51AE4">
        <w:rPr>
          <w:sz w:val="20"/>
          <w:szCs w:val="20"/>
        </w:rPr>
        <w:t>A classic study of a vanished world, Sokol's work takes on contemporary resonance in light of Vladimir Putin’s heavy-handed efforts to persuade Kyrgyzstan to join his new economic union. Sokol explains how an earlier Russian conquest ended in disaster and implies that a modern conquest might have the same effect. Essential reading for historians, political scientists, and policymakers, this reissued edition is being published to coincide with the centennial observation of the genocide.</w:t>
      </w:r>
      <w:r w:rsidR="00AD1735">
        <w:rPr>
          <w:sz w:val="20"/>
          <w:szCs w:val="20"/>
        </w:rPr>
        <w:t>)</w:t>
      </w:r>
    </w:p>
    <w:p w:rsidR="003F7343" w:rsidRDefault="003F7343" w:rsidP="00E9247A">
      <w:pPr>
        <w:rPr>
          <w:i/>
          <w:color w:val="000000"/>
          <w:sz w:val="27"/>
          <w:szCs w:val="27"/>
        </w:rPr>
      </w:pPr>
    </w:p>
    <w:p w:rsidR="002B5D9A" w:rsidRDefault="002B5D9A" w:rsidP="00E9247A">
      <w:pPr>
        <w:rPr>
          <w:i/>
          <w:color w:val="000000"/>
          <w:sz w:val="27"/>
          <w:szCs w:val="27"/>
        </w:rPr>
      </w:pPr>
    </w:p>
    <w:p w:rsidR="00613BAE" w:rsidRPr="00E9247A" w:rsidRDefault="003F7343" w:rsidP="00E9247A">
      <w:pPr>
        <w:rPr>
          <w:color w:val="000000"/>
        </w:rPr>
      </w:pPr>
      <w:r>
        <w:rPr>
          <w:i/>
          <w:color w:val="000000"/>
          <w:sz w:val="27"/>
          <w:szCs w:val="27"/>
        </w:rPr>
        <w:t>A</w:t>
      </w:r>
      <w:r w:rsidR="00EA472A">
        <w:rPr>
          <w:i/>
          <w:color w:val="000000"/>
          <w:sz w:val="27"/>
          <w:szCs w:val="27"/>
        </w:rPr>
        <w:t xml:space="preserve"> Simple Freedom: The Strong Mind of Robben Island Prisoner No. 468/64, </w:t>
      </w:r>
      <w:r w:rsidR="00EA472A">
        <w:rPr>
          <w:color w:val="000000"/>
          <w:sz w:val="27"/>
          <w:szCs w:val="27"/>
        </w:rPr>
        <w:t xml:space="preserve">by Ahmed Kathrada with Tim Couzens. University Press of Kentucky, 2016. </w:t>
      </w:r>
      <w:r w:rsidR="00AD1735">
        <w:rPr>
          <w:color w:val="000000"/>
          <w:sz w:val="27"/>
          <w:szCs w:val="27"/>
        </w:rPr>
        <w:t>(</w:t>
      </w:r>
      <w:r w:rsidR="00EA472A">
        <w:rPr>
          <w:color w:val="000000"/>
        </w:rPr>
        <w:t xml:space="preserve">In June 1964, South Africa’s most visible antiapartheid activists were sentenced to life in prison in the infamous Rivonia Trial. </w:t>
      </w:r>
      <w:r w:rsidR="00EA472A">
        <w:t>These men included Nelson Mandela, Walter Sisulu, Denis Goldberg, and, the youngest of the group, Ahmed Kathrada―or "Kathy," as he was called by his friends. Kathrada spent the better part of the next three decades imprisoned on Robben Island, enduring lengthy stays in solitary confinement, frequent abuse from the guards, and the desperation of "a life stripped bare" within the walls of the prison.</w:t>
      </w:r>
      <w:r w:rsidR="00EA472A">
        <w:br/>
        <w:t xml:space="preserve">During his confinement, Kathrada struggled to occupy his mind, often turning to literature to find solace. Drawing from the prison library's meager book collection, he recorded quotations he considered inspiring and profound, jotting down proverbs, poetry, excerpts from newspapers, and passages from books and magazines. </w:t>
      </w:r>
      <w:r w:rsidR="00EA472A">
        <w:rPr>
          <w:i/>
          <w:iCs/>
        </w:rPr>
        <w:t>A Simple Freedom</w:t>
      </w:r>
      <w:r w:rsidR="00EA472A">
        <w:t xml:space="preserve"> seamlessly weaves this material together with Kathrada's own words describing the 1964 verdict, life in the prison, and his friendships with other activists who shared his fate. Evocatively illustrated with photographs depicting the realities of life on Robben Island, this important, poignant book offers an intimate look at how one of the world's most well-known political activists lived day to day as Prisoner No. 468/64.</w:t>
      </w:r>
      <w:r w:rsidR="00AD1735">
        <w:t>)</w:t>
      </w:r>
    </w:p>
    <w:p w:rsidR="002B5D9A" w:rsidRDefault="002B5D9A" w:rsidP="00156F89">
      <w:pPr>
        <w:pStyle w:val="NormalWeb"/>
        <w:rPr>
          <w:i/>
          <w:color w:val="000000"/>
          <w:sz w:val="27"/>
          <w:szCs w:val="27"/>
        </w:rPr>
      </w:pPr>
    </w:p>
    <w:p w:rsidR="005A2F3F" w:rsidRPr="00156F89" w:rsidRDefault="00C94728" w:rsidP="00156F89">
      <w:pPr>
        <w:pStyle w:val="NormalWeb"/>
        <w:rPr>
          <w:sz w:val="20"/>
          <w:szCs w:val="20"/>
        </w:rPr>
      </w:pPr>
      <w:r>
        <w:rPr>
          <w:i/>
          <w:color w:val="000000"/>
          <w:sz w:val="27"/>
          <w:szCs w:val="27"/>
        </w:rPr>
        <w:t xml:space="preserve">A World of Struggle: How Power, Law, and Expertise Shape Global Political Economy,by David Kennedy,  </w:t>
      </w:r>
      <w:r>
        <w:rPr>
          <w:color w:val="000000"/>
          <w:sz w:val="27"/>
          <w:szCs w:val="27"/>
        </w:rPr>
        <w:t xml:space="preserve">Princeton University  Press. 2016. </w:t>
      </w:r>
      <w:r w:rsidRPr="00C94728">
        <w:rPr>
          <w:i/>
          <w:iCs/>
          <w:sz w:val="20"/>
          <w:szCs w:val="20"/>
        </w:rPr>
        <w:t xml:space="preserve"> (</w:t>
      </w:r>
      <w:r w:rsidRPr="009F0558">
        <w:rPr>
          <w:iCs/>
          <w:sz w:val="20"/>
          <w:szCs w:val="20"/>
        </w:rPr>
        <w:t>R</w:t>
      </w:r>
      <w:r w:rsidRPr="00C94728">
        <w:rPr>
          <w:sz w:val="20"/>
          <w:szCs w:val="20"/>
        </w:rPr>
        <w:t>eveals the role of expert knowledge in our political and economic life. As politicians, citizens, and experts engage one another on a technocratic terrain of irresolvable argument and uncertain knowledge, a world of astonishing inequality and injustice is born.</w:t>
      </w:r>
      <w:r>
        <w:rPr>
          <w:sz w:val="20"/>
          <w:szCs w:val="20"/>
        </w:rPr>
        <w:t xml:space="preserve">  </w:t>
      </w:r>
      <w:r w:rsidRPr="00C94728">
        <w:rPr>
          <w:sz w:val="20"/>
          <w:szCs w:val="20"/>
        </w:rPr>
        <w:t xml:space="preserve">In this provocative book, David Kennedy draws on his experience working with international lawyers, human rights advocates, policy professionals, economic development specialists, military lawyers, and </w:t>
      </w:r>
      <w:r w:rsidRPr="00C94728">
        <w:rPr>
          <w:sz w:val="20"/>
          <w:szCs w:val="20"/>
        </w:rPr>
        <w:lastRenderedPageBreak/>
        <w:t>humanitarian strategists to provide a unique insider's perspective on the complexities of global governance. He describes the conflicts, unexamined assumptions, and assertions of power and entitlement that lie at the center of expert rule. Kennedy explores the history of intellectual innovation by which experts developed a sophisticated legal vocabulary for global management strangely detached from its distributive consequences. At the center of expert rule is struggle: myriad everyday disputes in which expertise drifts free of its moorings in analytic rigor and observable fact. He proposes tools to model and contest expert work and concludes with an in-depth examination of modern law in warfare as an example of sophisticated expertise in action.</w:t>
      </w:r>
      <w:r>
        <w:rPr>
          <w:sz w:val="20"/>
          <w:szCs w:val="20"/>
        </w:rPr>
        <w:t xml:space="preserve">  </w:t>
      </w:r>
      <w:r w:rsidRPr="00C94728">
        <w:rPr>
          <w:sz w:val="20"/>
          <w:szCs w:val="20"/>
        </w:rPr>
        <w:t>Charting a major new direction in global governance at a moment when the international order is ready for change, this critically important book explains how we can harness expert knowledge to remake an unjust world.)</w:t>
      </w:r>
    </w:p>
    <w:p w:rsidR="00687E79" w:rsidRPr="00676D87" w:rsidRDefault="00F87B56" w:rsidP="00623F33">
      <w:pPr>
        <w:jc w:val="center"/>
        <w:rPr>
          <w:b/>
          <w:sz w:val="28"/>
          <w:szCs w:val="28"/>
        </w:rPr>
      </w:pPr>
      <w:r w:rsidRPr="00676D87">
        <w:rPr>
          <w:b/>
          <w:sz w:val="28"/>
          <w:szCs w:val="28"/>
          <w:lang w:val="ja-JP"/>
        </w:rPr>
        <w:t xml:space="preserve">Request books for review from </w:t>
      </w:r>
      <w:r w:rsidR="00623F33" w:rsidRPr="00676D87">
        <w:rPr>
          <w:b/>
          <w:i/>
          <w:sz w:val="28"/>
          <w:szCs w:val="28"/>
        </w:rPr>
        <w:t xml:space="preserve">International Journal </w:t>
      </w:r>
      <w:r w:rsidR="00B751FD" w:rsidRPr="00676D87">
        <w:rPr>
          <w:b/>
          <w:i/>
          <w:sz w:val="28"/>
          <w:szCs w:val="28"/>
        </w:rPr>
        <w:t>on</w:t>
      </w:r>
      <w:r w:rsidR="00623F33" w:rsidRPr="00676D87">
        <w:rPr>
          <w:b/>
          <w:i/>
          <w:sz w:val="28"/>
          <w:szCs w:val="28"/>
        </w:rPr>
        <w:t xml:space="preserve"> World Peace</w:t>
      </w:r>
      <w:r w:rsidR="00623F33" w:rsidRPr="00676D87">
        <w:rPr>
          <w:b/>
          <w:sz w:val="28"/>
          <w:szCs w:val="28"/>
        </w:rPr>
        <w:t xml:space="preserve"> </w:t>
      </w:r>
    </w:p>
    <w:p w:rsidR="00F87B56" w:rsidRPr="00676D87" w:rsidRDefault="00F87B56" w:rsidP="00623F33">
      <w:pPr>
        <w:jc w:val="center"/>
        <w:rPr>
          <w:b/>
          <w:sz w:val="28"/>
          <w:szCs w:val="28"/>
        </w:rPr>
      </w:pPr>
      <w:r w:rsidRPr="00676D87">
        <w:rPr>
          <w:b/>
          <w:sz w:val="28"/>
          <w:szCs w:val="28"/>
          <w:lang w:val="ja-JP"/>
        </w:rPr>
        <w:t xml:space="preserve">via email at </w:t>
      </w:r>
      <w:hyperlink r:id="rId7" w:history="1">
        <w:r w:rsidRPr="00676D87">
          <w:rPr>
            <w:b/>
            <w:color w:val="0000FF"/>
            <w:sz w:val="28"/>
            <w:szCs w:val="28"/>
            <w:u w:val="single"/>
            <w:lang w:val="ja-JP"/>
          </w:rPr>
          <w:t>submissions@IJWP.org</w:t>
        </w:r>
      </w:hyperlink>
      <w:r w:rsidRPr="00676D87">
        <w:rPr>
          <w:b/>
          <w:sz w:val="28"/>
          <w:szCs w:val="28"/>
          <w:lang w:val="ja-JP"/>
        </w:rPr>
        <w:t xml:space="preserve">  or</w:t>
      </w:r>
    </w:p>
    <w:p w:rsidR="00F87B56" w:rsidRPr="00676D87" w:rsidRDefault="00F87B56" w:rsidP="00623F33">
      <w:pPr>
        <w:jc w:val="center"/>
        <w:rPr>
          <w:b/>
          <w:sz w:val="28"/>
          <w:szCs w:val="28"/>
          <w:lang w:val="ja-JP"/>
        </w:rPr>
      </w:pPr>
    </w:p>
    <w:p w:rsidR="00F87B56" w:rsidRPr="00676D87" w:rsidRDefault="00F87B56" w:rsidP="00623F33">
      <w:pPr>
        <w:jc w:val="center"/>
        <w:rPr>
          <w:b/>
          <w:sz w:val="28"/>
          <w:szCs w:val="28"/>
          <w:lang w:val="ja-JP"/>
        </w:rPr>
      </w:pPr>
      <w:r w:rsidRPr="00676D87">
        <w:rPr>
          <w:b/>
          <w:i/>
          <w:iCs/>
          <w:sz w:val="28"/>
          <w:szCs w:val="28"/>
          <w:lang w:val="ja-JP"/>
        </w:rPr>
        <w:t>International Journal on World Peace</w:t>
      </w:r>
    </w:p>
    <w:p w:rsidR="00F87B56" w:rsidRPr="00676D87" w:rsidRDefault="005C0FD0" w:rsidP="00623F33">
      <w:pPr>
        <w:jc w:val="center"/>
        <w:rPr>
          <w:b/>
          <w:sz w:val="28"/>
          <w:szCs w:val="28"/>
        </w:rPr>
      </w:pPr>
      <w:r w:rsidRPr="00676D87">
        <w:rPr>
          <w:b/>
          <w:sz w:val="28"/>
          <w:szCs w:val="28"/>
        </w:rPr>
        <w:t>3600 Labore Road, Suite 1</w:t>
      </w:r>
    </w:p>
    <w:p w:rsidR="00F87B56" w:rsidRPr="00676D87" w:rsidRDefault="00F87B56" w:rsidP="00623F33">
      <w:pPr>
        <w:jc w:val="center"/>
        <w:rPr>
          <w:b/>
          <w:sz w:val="28"/>
          <w:szCs w:val="28"/>
        </w:rPr>
      </w:pPr>
      <w:r w:rsidRPr="00676D87">
        <w:rPr>
          <w:b/>
          <w:sz w:val="28"/>
          <w:szCs w:val="28"/>
          <w:lang w:val="ja-JP"/>
        </w:rPr>
        <w:t xml:space="preserve">St. Paul, MN </w:t>
      </w:r>
      <w:r w:rsidR="005C0FD0" w:rsidRPr="00676D87">
        <w:rPr>
          <w:b/>
          <w:sz w:val="28"/>
          <w:szCs w:val="28"/>
        </w:rPr>
        <w:t>55110-4144</w:t>
      </w:r>
    </w:p>
    <w:p w:rsidR="00F87B56" w:rsidRPr="00676D87" w:rsidRDefault="00F87B56" w:rsidP="00623F33">
      <w:pPr>
        <w:jc w:val="center"/>
        <w:rPr>
          <w:b/>
          <w:sz w:val="28"/>
          <w:szCs w:val="28"/>
          <w:lang w:val="ja-JP"/>
        </w:rPr>
      </w:pPr>
      <w:r w:rsidRPr="00676D87">
        <w:rPr>
          <w:b/>
          <w:sz w:val="28"/>
          <w:szCs w:val="28"/>
          <w:lang w:val="ja-JP"/>
        </w:rPr>
        <w:t>Tel: (651) 644-2809</w:t>
      </w:r>
    </w:p>
    <w:p w:rsidR="00EB2F9A" w:rsidRPr="00676D87" w:rsidRDefault="00F87B56" w:rsidP="00623F33">
      <w:pPr>
        <w:jc w:val="center"/>
        <w:rPr>
          <w:b/>
          <w:sz w:val="28"/>
          <w:szCs w:val="28"/>
        </w:rPr>
      </w:pPr>
      <w:r w:rsidRPr="00676D87">
        <w:rPr>
          <w:b/>
          <w:sz w:val="28"/>
          <w:szCs w:val="28"/>
          <w:lang w:val="ja-JP"/>
        </w:rPr>
        <w:t>Fax: (651) 644-0997</w:t>
      </w:r>
    </w:p>
    <w:p w:rsidR="00F62A05" w:rsidRPr="00676D87" w:rsidRDefault="00F62A05" w:rsidP="00623F33">
      <w:pPr>
        <w:jc w:val="center"/>
        <w:rPr>
          <w:b/>
          <w:sz w:val="28"/>
          <w:szCs w:val="28"/>
        </w:rPr>
      </w:pPr>
      <w:r w:rsidRPr="00676D87">
        <w:rPr>
          <w:b/>
          <w:sz w:val="28"/>
          <w:szCs w:val="28"/>
        </w:rPr>
        <w:t>(Descriptions in parentheses are from bookseller websites.)</w:t>
      </w:r>
    </w:p>
    <w:sectPr w:rsidR="00F62A05" w:rsidRPr="00676D87" w:rsidSect="0039445A">
      <w:footerReference w:type="default" r:id="rId8"/>
      <w:type w:val="continuous"/>
      <w:pgSz w:w="12240" w:h="15840"/>
      <w:pgMar w:top="720" w:right="720" w:bottom="720" w:left="720" w:header="1440" w:footer="45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E1C" w:rsidRDefault="001A3E1C" w:rsidP="00823455">
      <w:r>
        <w:separator/>
      </w:r>
    </w:p>
  </w:endnote>
  <w:endnote w:type="continuationSeparator" w:id="0">
    <w:p w:rsidR="001A3E1C" w:rsidRDefault="001A3E1C" w:rsidP="0082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8008"/>
      <w:docPartObj>
        <w:docPartGallery w:val="Page Numbers (Bottom of Page)"/>
        <w:docPartUnique/>
      </w:docPartObj>
    </w:sdtPr>
    <w:sdtEndPr/>
    <w:sdtContent>
      <w:p w:rsidR="00D51AE4" w:rsidRDefault="001A3E1C">
        <w:pPr>
          <w:pStyle w:val="Footer"/>
          <w:jc w:val="right"/>
        </w:pPr>
        <w:r>
          <w:fldChar w:fldCharType="begin"/>
        </w:r>
        <w:r>
          <w:instrText xml:space="preserve"> PAGE   \* MERGEFORMAT </w:instrText>
        </w:r>
        <w:r>
          <w:fldChar w:fldCharType="separate"/>
        </w:r>
        <w:r w:rsidR="00852A79">
          <w:rPr>
            <w:noProof/>
          </w:rPr>
          <w:t>1</w:t>
        </w:r>
        <w:r>
          <w:rPr>
            <w:noProof/>
          </w:rPr>
          <w:fldChar w:fldCharType="end"/>
        </w:r>
      </w:p>
    </w:sdtContent>
  </w:sdt>
  <w:p w:rsidR="00D51AE4" w:rsidRDefault="00D51A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ind w:left="270" w:right="270"/>
      <w:rPr>
        <w:sz w:val="24"/>
        <w:szCs w:val="24"/>
        <w:lang w:val="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E1C" w:rsidRDefault="001A3E1C" w:rsidP="00823455">
      <w:r>
        <w:separator/>
      </w:r>
    </w:p>
  </w:footnote>
  <w:footnote w:type="continuationSeparator" w:id="0">
    <w:p w:rsidR="001A3E1C" w:rsidRDefault="001A3E1C" w:rsidP="00823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S2MLYwM7U0Njc2NzRX0lEKTi0uzszPAykwrAUAj5kTDywAAAA="/>
  </w:docVars>
  <w:rsids>
    <w:rsidRoot w:val="00F87B56"/>
    <w:rsid w:val="0000694A"/>
    <w:rsid w:val="00011537"/>
    <w:rsid w:val="00014DF8"/>
    <w:rsid w:val="00015206"/>
    <w:rsid w:val="00017203"/>
    <w:rsid w:val="0003360E"/>
    <w:rsid w:val="00047D28"/>
    <w:rsid w:val="00057531"/>
    <w:rsid w:val="00062F82"/>
    <w:rsid w:val="00067010"/>
    <w:rsid w:val="0007254E"/>
    <w:rsid w:val="00072CE1"/>
    <w:rsid w:val="0008048E"/>
    <w:rsid w:val="00080783"/>
    <w:rsid w:val="00093B10"/>
    <w:rsid w:val="000A0057"/>
    <w:rsid w:val="000A434F"/>
    <w:rsid w:val="000B157F"/>
    <w:rsid w:val="000D74E8"/>
    <w:rsid w:val="000E509B"/>
    <w:rsid w:val="000F7002"/>
    <w:rsid w:val="00103657"/>
    <w:rsid w:val="00127A79"/>
    <w:rsid w:val="00153703"/>
    <w:rsid w:val="00156F89"/>
    <w:rsid w:val="00164C64"/>
    <w:rsid w:val="00167EEF"/>
    <w:rsid w:val="00172066"/>
    <w:rsid w:val="00173CA6"/>
    <w:rsid w:val="00177EF1"/>
    <w:rsid w:val="0019210E"/>
    <w:rsid w:val="0019331A"/>
    <w:rsid w:val="001A3E1C"/>
    <w:rsid w:val="001C1422"/>
    <w:rsid w:val="001C4380"/>
    <w:rsid w:val="001D0B46"/>
    <w:rsid w:val="001D2E8C"/>
    <w:rsid w:val="001D3D9E"/>
    <w:rsid w:val="001D41F2"/>
    <w:rsid w:val="001E1B00"/>
    <w:rsid w:val="00200AFE"/>
    <w:rsid w:val="00210133"/>
    <w:rsid w:val="002139D3"/>
    <w:rsid w:val="00214BD0"/>
    <w:rsid w:val="00223412"/>
    <w:rsid w:val="0024111A"/>
    <w:rsid w:val="0024479C"/>
    <w:rsid w:val="0025142B"/>
    <w:rsid w:val="002540BE"/>
    <w:rsid w:val="00255210"/>
    <w:rsid w:val="00264448"/>
    <w:rsid w:val="002A53F3"/>
    <w:rsid w:val="002B5D9A"/>
    <w:rsid w:val="002C35A0"/>
    <w:rsid w:val="002C6406"/>
    <w:rsid w:val="002D5C72"/>
    <w:rsid w:val="002E714F"/>
    <w:rsid w:val="002F11CD"/>
    <w:rsid w:val="002F2DAB"/>
    <w:rsid w:val="0030749B"/>
    <w:rsid w:val="00314CEF"/>
    <w:rsid w:val="0031711B"/>
    <w:rsid w:val="00333BBC"/>
    <w:rsid w:val="0033458C"/>
    <w:rsid w:val="00337D35"/>
    <w:rsid w:val="00342981"/>
    <w:rsid w:val="00350FF1"/>
    <w:rsid w:val="003542CA"/>
    <w:rsid w:val="00375863"/>
    <w:rsid w:val="003804DC"/>
    <w:rsid w:val="0038173F"/>
    <w:rsid w:val="0038521D"/>
    <w:rsid w:val="003869A0"/>
    <w:rsid w:val="0039393C"/>
    <w:rsid w:val="0039445A"/>
    <w:rsid w:val="003B001B"/>
    <w:rsid w:val="003B0E99"/>
    <w:rsid w:val="003C15BD"/>
    <w:rsid w:val="003C5066"/>
    <w:rsid w:val="003D08B9"/>
    <w:rsid w:val="003F7343"/>
    <w:rsid w:val="004004C5"/>
    <w:rsid w:val="00400EE8"/>
    <w:rsid w:val="00400F0B"/>
    <w:rsid w:val="00400FEB"/>
    <w:rsid w:val="00405AF2"/>
    <w:rsid w:val="0040675B"/>
    <w:rsid w:val="0040769A"/>
    <w:rsid w:val="00407BA3"/>
    <w:rsid w:val="00410BCA"/>
    <w:rsid w:val="004310F5"/>
    <w:rsid w:val="00434DB1"/>
    <w:rsid w:val="004429FA"/>
    <w:rsid w:val="004534FC"/>
    <w:rsid w:val="00456269"/>
    <w:rsid w:val="00470792"/>
    <w:rsid w:val="00481352"/>
    <w:rsid w:val="00482594"/>
    <w:rsid w:val="00487CB8"/>
    <w:rsid w:val="004907F3"/>
    <w:rsid w:val="004C0B8A"/>
    <w:rsid w:val="004C0C10"/>
    <w:rsid w:val="004D7A16"/>
    <w:rsid w:val="00536805"/>
    <w:rsid w:val="005369CC"/>
    <w:rsid w:val="00545933"/>
    <w:rsid w:val="005469AB"/>
    <w:rsid w:val="00554D76"/>
    <w:rsid w:val="00555E0A"/>
    <w:rsid w:val="00560AA5"/>
    <w:rsid w:val="00566EDA"/>
    <w:rsid w:val="00570F69"/>
    <w:rsid w:val="005737F6"/>
    <w:rsid w:val="00574466"/>
    <w:rsid w:val="005807D0"/>
    <w:rsid w:val="00582E7A"/>
    <w:rsid w:val="00591B86"/>
    <w:rsid w:val="005A0557"/>
    <w:rsid w:val="005A13A9"/>
    <w:rsid w:val="005A2F3F"/>
    <w:rsid w:val="005A3525"/>
    <w:rsid w:val="005A6143"/>
    <w:rsid w:val="005B689B"/>
    <w:rsid w:val="005B6B13"/>
    <w:rsid w:val="005C0FD0"/>
    <w:rsid w:val="005D26CA"/>
    <w:rsid w:val="005F68A6"/>
    <w:rsid w:val="006019BF"/>
    <w:rsid w:val="00606C9E"/>
    <w:rsid w:val="00613BAE"/>
    <w:rsid w:val="00615B2B"/>
    <w:rsid w:val="006232FD"/>
    <w:rsid w:val="00623F33"/>
    <w:rsid w:val="006278E6"/>
    <w:rsid w:val="00630923"/>
    <w:rsid w:val="0063638E"/>
    <w:rsid w:val="00642A18"/>
    <w:rsid w:val="006452DF"/>
    <w:rsid w:val="00647149"/>
    <w:rsid w:val="00663398"/>
    <w:rsid w:val="00663449"/>
    <w:rsid w:val="006675AF"/>
    <w:rsid w:val="006709D8"/>
    <w:rsid w:val="00672762"/>
    <w:rsid w:val="0067549E"/>
    <w:rsid w:val="00676D87"/>
    <w:rsid w:val="00687E79"/>
    <w:rsid w:val="00692279"/>
    <w:rsid w:val="006A200E"/>
    <w:rsid w:val="006E4BF5"/>
    <w:rsid w:val="006F3370"/>
    <w:rsid w:val="006F4D6F"/>
    <w:rsid w:val="00704487"/>
    <w:rsid w:val="007242F3"/>
    <w:rsid w:val="00753FB1"/>
    <w:rsid w:val="0075495D"/>
    <w:rsid w:val="00756A89"/>
    <w:rsid w:val="007731BB"/>
    <w:rsid w:val="00776319"/>
    <w:rsid w:val="0079435B"/>
    <w:rsid w:val="00795B01"/>
    <w:rsid w:val="00796DFF"/>
    <w:rsid w:val="007B00D5"/>
    <w:rsid w:val="007B5B7E"/>
    <w:rsid w:val="007D0BC7"/>
    <w:rsid w:val="00812AEF"/>
    <w:rsid w:val="00823455"/>
    <w:rsid w:val="008409D3"/>
    <w:rsid w:val="00845277"/>
    <w:rsid w:val="00847DED"/>
    <w:rsid w:val="00852A79"/>
    <w:rsid w:val="008566BF"/>
    <w:rsid w:val="00856B55"/>
    <w:rsid w:val="00874FA8"/>
    <w:rsid w:val="00890596"/>
    <w:rsid w:val="008A5EEE"/>
    <w:rsid w:val="008B0DC5"/>
    <w:rsid w:val="008B404C"/>
    <w:rsid w:val="008B6D6A"/>
    <w:rsid w:val="008D14A9"/>
    <w:rsid w:val="008D675D"/>
    <w:rsid w:val="008E118F"/>
    <w:rsid w:val="008E4E08"/>
    <w:rsid w:val="008F2686"/>
    <w:rsid w:val="009016AD"/>
    <w:rsid w:val="00906C1E"/>
    <w:rsid w:val="00923E14"/>
    <w:rsid w:val="00934CA5"/>
    <w:rsid w:val="00947F23"/>
    <w:rsid w:val="009567C8"/>
    <w:rsid w:val="00960061"/>
    <w:rsid w:val="00970715"/>
    <w:rsid w:val="00971B2F"/>
    <w:rsid w:val="009862E9"/>
    <w:rsid w:val="009A02B2"/>
    <w:rsid w:val="009A1150"/>
    <w:rsid w:val="009A509E"/>
    <w:rsid w:val="009A7482"/>
    <w:rsid w:val="009B5826"/>
    <w:rsid w:val="009C471D"/>
    <w:rsid w:val="009C52FC"/>
    <w:rsid w:val="009E59FC"/>
    <w:rsid w:val="009E612B"/>
    <w:rsid w:val="009F022E"/>
    <w:rsid w:val="009F0558"/>
    <w:rsid w:val="00A17887"/>
    <w:rsid w:val="00A42A2C"/>
    <w:rsid w:val="00A60111"/>
    <w:rsid w:val="00A64B0B"/>
    <w:rsid w:val="00A84AE4"/>
    <w:rsid w:val="00A90A30"/>
    <w:rsid w:val="00AA37A2"/>
    <w:rsid w:val="00AB3474"/>
    <w:rsid w:val="00AB6C1A"/>
    <w:rsid w:val="00AB7E33"/>
    <w:rsid w:val="00AD1735"/>
    <w:rsid w:val="00AD688E"/>
    <w:rsid w:val="00AE482E"/>
    <w:rsid w:val="00AE4C71"/>
    <w:rsid w:val="00AE5244"/>
    <w:rsid w:val="00B0520A"/>
    <w:rsid w:val="00B17BE5"/>
    <w:rsid w:val="00B32356"/>
    <w:rsid w:val="00B372CC"/>
    <w:rsid w:val="00B37F52"/>
    <w:rsid w:val="00B41D10"/>
    <w:rsid w:val="00B47FDD"/>
    <w:rsid w:val="00B60D8C"/>
    <w:rsid w:val="00B61C2C"/>
    <w:rsid w:val="00B751FD"/>
    <w:rsid w:val="00B82C5B"/>
    <w:rsid w:val="00B8755C"/>
    <w:rsid w:val="00B97483"/>
    <w:rsid w:val="00BA2C6B"/>
    <w:rsid w:val="00BB0288"/>
    <w:rsid w:val="00BB7594"/>
    <w:rsid w:val="00BD0AB4"/>
    <w:rsid w:val="00BD5F38"/>
    <w:rsid w:val="00BD737C"/>
    <w:rsid w:val="00BE4F0C"/>
    <w:rsid w:val="00C13323"/>
    <w:rsid w:val="00C413DD"/>
    <w:rsid w:val="00C43A74"/>
    <w:rsid w:val="00C6516D"/>
    <w:rsid w:val="00C66442"/>
    <w:rsid w:val="00C7504C"/>
    <w:rsid w:val="00C847F4"/>
    <w:rsid w:val="00C90F7C"/>
    <w:rsid w:val="00C94728"/>
    <w:rsid w:val="00CB0AE8"/>
    <w:rsid w:val="00CE656B"/>
    <w:rsid w:val="00CF3689"/>
    <w:rsid w:val="00CF6014"/>
    <w:rsid w:val="00D22145"/>
    <w:rsid w:val="00D22172"/>
    <w:rsid w:val="00D22D6E"/>
    <w:rsid w:val="00D2753E"/>
    <w:rsid w:val="00D324B7"/>
    <w:rsid w:val="00D33985"/>
    <w:rsid w:val="00D43984"/>
    <w:rsid w:val="00D4501A"/>
    <w:rsid w:val="00D50DD7"/>
    <w:rsid w:val="00D51AE4"/>
    <w:rsid w:val="00D60FBF"/>
    <w:rsid w:val="00D67AD1"/>
    <w:rsid w:val="00D70FA9"/>
    <w:rsid w:val="00D71ABD"/>
    <w:rsid w:val="00D80AA8"/>
    <w:rsid w:val="00D825FA"/>
    <w:rsid w:val="00D8449A"/>
    <w:rsid w:val="00D934D9"/>
    <w:rsid w:val="00DA36AA"/>
    <w:rsid w:val="00DA518E"/>
    <w:rsid w:val="00DB71A1"/>
    <w:rsid w:val="00DB75E7"/>
    <w:rsid w:val="00DC0F13"/>
    <w:rsid w:val="00DC0F95"/>
    <w:rsid w:val="00DC15CB"/>
    <w:rsid w:val="00DD395B"/>
    <w:rsid w:val="00DE1CE7"/>
    <w:rsid w:val="00DE677D"/>
    <w:rsid w:val="00DF011E"/>
    <w:rsid w:val="00E02F1F"/>
    <w:rsid w:val="00E035AA"/>
    <w:rsid w:val="00E0694B"/>
    <w:rsid w:val="00E10218"/>
    <w:rsid w:val="00E20003"/>
    <w:rsid w:val="00E208DD"/>
    <w:rsid w:val="00E20CBC"/>
    <w:rsid w:val="00E26C46"/>
    <w:rsid w:val="00E317FA"/>
    <w:rsid w:val="00E846A4"/>
    <w:rsid w:val="00E903F7"/>
    <w:rsid w:val="00E9247A"/>
    <w:rsid w:val="00EA472A"/>
    <w:rsid w:val="00EB2F9A"/>
    <w:rsid w:val="00EB69AE"/>
    <w:rsid w:val="00EE3C7B"/>
    <w:rsid w:val="00EF717A"/>
    <w:rsid w:val="00EF76D3"/>
    <w:rsid w:val="00F07226"/>
    <w:rsid w:val="00F10187"/>
    <w:rsid w:val="00F20F48"/>
    <w:rsid w:val="00F34F68"/>
    <w:rsid w:val="00F37746"/>
    <w:rsid w:val="00F62A05"/>
    <w:rsid w:val="00F6442E"/>
    <w:rsid w:val="00F712CD"/>
    <w:rsid w:val="00F72317"/>
    <w:rsid w:val="00F72719"/>
    <w:rsid w:val="00F735C0"/>
    <w:rsid w:val="00F73AF3"/>
    <w:rsid w:val="00F74C31"/>
    <w:rsid w:val="00F74F08"/>
    <w:rsid w:val="00F87B56"/>
    <w:rsid w:val="00F95622"/>
    <w:rsid w:val="00F963D0"/>
    <w:rsid w:val="00FB381E"/>
    <w:rsid w:val="00FB3914"/>
    <w:rsid w:val="00FB6AC2"/>
    <w:rsid w:val="00FC0785"/>
    <w:rsid w:val="00FC1816"/>
    <w:rsid w:val="00FC1EC5"/>
    <w:rsid w:val="00FF3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A54E8-412D-4BA2-AA3A-1413ECAC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B56"/>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ext">
    <w:name w:val="maintext"/>
    <w:basedOn w:val="DefaultParagraphFont"/>
    <w:rsid w:val="00F62A05"/>
  </w:style>
  <w:style w:type="paragraph" w:styleId="NormalWeb">
    <w:name w:val="Normal (Web)"/>
    <w:basedOn w:val="Normal"/>
    <w:uiPriority w:val="99"/>
    <w:unhideWhenUsed/>
    <w:rsid w:val="00D80AA8"/>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19210E"/>
    <w:rPr>
      <w:i/>
      <w:iCs/>
    </w:rPr>
  </w:style>
  <w:style w:type="paragraph" w:styleId="Header">
    <w:name w:val="header"/>
    <w:basedOn w:val="Normal"/>
    <w:link w:val="HeaderChar"/>
    <w:uiPriority w:val="99"/>
    <w:semiHidden/>
    <w:unhideWhenUsed/>
    <w:rsid w:val="00676D87"/>
    <w:pPr>
      <w:tabs>
        <w:tab w:val="center" w:pos="4680"/>
        <w:tab w:val="right" w:pos="9360"/>
      </w:tabs>
    </w:pPr>
  </w:style>
  <w:style w:type="character" w:customStyle="1" w:styleId="HeaderChar">
    <w:name w:val="Header Char"/>
    <w:basedOn w:val="DefaultParagraphFont"/>
    <w:link w:val="Header"/>
    <w:uiPriority w:val="99"/>
    <w:semiHidden/>
    <w:rsid w:val="00676D87"/>
    <w:rPr>
      <w:rFonts w:ascii="Times New Roman" w:hAnsi="Times New Roman"/>
    </w:rPr>
  </w:style>
  <w:style w:type="paragraph" w:styleId="Footer">
    <w:name w:val="footer"/>
    <w:basedOn w:val="Normal"/>
    <w:link w:val="FooterChar"/>
    <w:uiPriority w:val="99"/>
    <w:unhideWhenUsed/>
    <w:rsid w:val="00676D87"/>
    <w:pPr>
      <w:tabs>
        <w:tab w:val="center" w:pos="4680"/>
        <w:tab w:val="right" w:pos="9360"/>
      </w:tabs>
    </w:pPr>
  </w:style>
  <w:style w:type="character" w:customStyle="1" w:styleId="FooterChar">
    <w:name w:val="Footer Char"/>
    <w:basedOn w:val="DefaultParagraphFont"/>
    <w:link w:val="Footer"/>
    <w:uiPriority w:val="99"/>
    <w:rsid w:val="00676D8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5751">
      <w:bodyDiv w:val="1"/>
      <w:marLeft w:val="0"/>
      <w:marRight w:val="0"/>
      <w:marTop w:val="0"/>
      <w:marBottom w:val="0"/>
      <w:divBdr>
        <w:top w:val="none" w:sz="0" w:space="0" w:color="auto"/>
        <w:left w:val="none" w:sz="0" w:space="0" w:color="auto"/>
        <w:bottom w:val="none" w:sz="0" w:space="0" w:color="auto"/>
        <w:right w:val="none" w:sz="0" w:space="0" w:color="auto"/>
      </w:divBdr>
      <w:divsChild>
        <w:div w:id="1755935205">
          <w:marLeft w:val="0"/>
          <w:marRight w:val="0"/>
          <w:marTop w:val="0"/>
          <w:marBottom w:val="0"/>
          <w:divBdr>
            <w:top w:val="none" w:sz="0" w:space="0" w:color="auto"/>
            <w:left w:val="none" w:sz="0" w:space="0" w:color="auto"/>
            <w:bottom w:val="none" w:sz="0" w:space="0" w:color="auto"/>
            <w:right w:val="none" w:sz="0" w:space="0" w:color="auto"/>
          </w:divBdr>
        </w:div>
      </w:divsChild>
    </w:div>
    <w:div w:id="770511799">
      <w:bodyDiv w:val="1"/>
      <w:marLeft w:val="0"/>
      <w:marRight w:val="0"/>
      <w:marTop w:val="0"/>
      <w:marBottom w:val="0"/>
      <w:divBdr>
        <w:top w:val="none" w:sz="0" w:space="0" w:color="auto"/>
        <w:left w:val="none" w:sz="0" w:space="0" w:color="auto"/>
        <w:bottom w:val="none" w:sz="0" w:space="0" w:color="auto"/>
        <w:right w:val="none" w:sz="0" w:space="0" w:color="auto"/>
      </w:divBdr>
      <w:divsChild>
        <w:div w:id="99298051">
          <w:marLeft w:val="0"/>
          <w:marRight w:val="0"/>
          <w:marTop w:val="0"/>
          <w:marBottom w:val="0"/>
          <w:divBdr>
            <w:top w:val="none" w:sz="0" w:space="0" w:color="auto"/>
            <w:left w:val="none" w:sz="0" w:space="0" w:color="auto"/>
            <w:bottom w:val="none" w:sz="0" w:space="0" w:color="auto"/>
            <w:right w:val="none" w:sz="0" w:space="0" w:color="auto"/>
          </w:divBdr>
        </w:div>
      </w:divsChild>
    </w:div>
    <w:div w:id="863834478">
      <w:bodyDiv w:val="1"/>
      <w:marLeft w:val="0"/>
      <w:marRight w:val="0"/>
      <w:marTop w:val="0"/>
      <w:marBottom w:val="0"/>
      <w:divBdr>
        <w:top w:val="none" w:sz="0" w:space="0" w:color="auto"/>
        <w:left w:val="none" w:sz="0" w:space="0" w:color="auto"/>
        <w:bottom w:val="none" w:sz="0" w:space="0" w:color="auto"/>
        <w:right w:val="none" w:sz="0" w:space="0" w:color="auto"/>
      </w:divBdr>
      <w:divsChild>
        <w:div w:id="1097367409">
          <w:marLeft w:val="0"/>
          <w:marRight w:val="0"/>
          <w:marTop w:val="0"/>
          <w:marBottom w:val="0"/>
          <w:divBdr>
            <w:top w:val="none" w:sz="0" w:space="0" w:color="auto"/>
            <w:left w:val="none" w:sz="0" w:space="0" w:color="auto"/>
            <w:bottom w:val="none" w:sz="0" w:space="0" w:color="auto"/>
            <w:right w:val="none" w:sz="0" w:space="0" w:color="auto"/>
          </w:divBdr>
        </w:div>
      </w:divsChild>
    </w:div>
    <w:div w:id="874463621">
      <w:bodyDiv w:val="1"/>
      <w:marLeft w:val="0"/>
      <w:marRight w:val="0"/>
      <w:marTop w:val="0"/>
      <w:marBottom w:val="0"/>
      <w:divBdr>
        <w:top w:val="none" w:sz="0" w:space="0" w:color="auto"/>
        <w:left w:val="none" w:sz="0" w:space="0" w:color="auto"/>
        <w:bottom w:val="none" w:sz="0" w:space="0" w:color="auto"/>
        <w:right w:val="none" w:sz="0" w:space="0" w:color="auto"/>
      </w:divBdr>
    </w:div>
    <w:div w:id="881593344">
      <w:bodyDiv w:val="1"/>
      <w:marLeft w:val="0"/>
      <w:marRight w:val="0"/>
      <w:marTop w:val="0"/>
      <w:marBottom w:val="0"/>
      <w:divBdr>
        <w:top w:val="none" w:sz="0" w:space="0" w:color="auto"/>
        <w:left w:val="none" w:sz="0" w:space="0" w:color="auto"/>
        <w:bottom w:val="none" w:sz="0" w:space="0" w:color="auto"/>
        <w:right w:val="none" w:sz="0" w:space="0" w:color="auto"/>
      </w:divBdr>
      <w:divsChild>
        <w:div w:id="1682506450">
          <w:marLeft w:val="0"/>
          <w:marRight w:val="0"/>
          <w:marTop w:val="0"/>
          <w:marBottom w:val="0"/>
          <w:divBdr>
            <w:top w:val="none" w:sz="0" w:space="0" w:color="auto"/>
            <w:left w:val="none" w:sz="0" w:space="0" w:color="auto"/>
            <w:bottom w:val="none" w:sz="0" w:space="0" w:color="auto"/>
            <w:right w:val="none" w:sz="0" w:space="0" w:color="auto"/>
          </w:divBdr>
        </w:div>
      </w:divsChild>
    </w:div>
    <w:div w:id="1254321700">
      <w:bodyDiv w:val="1"/>
      <w:marLeft w:val="0"/>
      <w:marRight w:val="0"/>
      <w:marTop w:val="0"/>
      <w:marBottom w:val="0"/>
      <w:divBdr>
        <w:top w:val="none" w:sz="0" w:space="0" w:color="auto"/>
        <w:left w:val="none" w:sz="0" w:space="0" w:color="auto"/>
        <w:bottom w:val="none" w:sz="0" w:space="0" w:color="auto"/>
        <w:right w:val="none" w:sz="0" w:space="0" w:color="auto"/>
      </w:divBdr>
      <w:divsChild>
        <w:div w:id="972369788">
          <w:marLeft w:val="0"/>
          <w:marRight w:val="0"/>
          <w:marTop w:val="0"/>
          <w:marBottom w:val="0"/>
          <w:divBdr>
            <w:top w:val="none" w:sz="0" w:space="0" w:color="auto"/>
            <w:left w:val="none" w:sz="0" w:space="0" w:color="auto"/>
            <w:bottom w:val="none" w:sz="0" w:space="0" w:color="auto"/>
            <w:right w:val="none" w:sz="0" w:space="0" w:color="auto"/>
          </w:divBdr>
        </w:div>
      </w:divsChild>
    </w:div>
    <w:div w:id="1325628942">
      <w:bodyDiv w:val="1"/>
      <w:marLeft w:val="0"/>
      <w:marRight w:val="0"/>
      <w:marTop w:val="0"/>
      <w:marBottom w:val="0"/>
      <w:divBdr>
        <w:top w:val="none" w:sz="0" w:space="0" w:color="auto"/>
        <w:left w:val="none" w:sz="0" w:space="0" w:color="auto"/>
        <w:bottom w:val="none" w:sz="0" w:space="0" w:color="auto"/>
        <w:right w:val="none" w:sz="0" w:space="0" w:color="auto"/>
      </w:divBdr>
      <w:divsChild>
        <w:div w:id="77337336">
          <w:marLeft w:val="0"/>
          <w:marRight w:val="0"/>
          <w:marTop w:val="0"/>
          <w:marBottom w:val="0"/>
          <w:divBdr>
            <w:top w:val="none" w:sz="0" w:space="0" w:color="auto"/>
            <w:left w:val="none" w:sz="0" w:space="0" w:color="auto"/>
            <w:bottom w:val="none" w:sz="0" w:space="0" w:color="auto"/>
            <w:right w:val="none" w:sz="0" w:space="0" w:color="auto"/>
          </w:divBdr>
        </w:div>
        <w:div w:id="683632504">
          <w:marLeft w:val="0"/>
          <w:marRight w:val="0"/>
          <w:marTop w:val="0"/>
          <w:marBottom w:val="0"/>
          <w:divBdr>
            <w:top w:val="none" w:sz="0" w:space="0" w:color="auto"/>
            <w:left w:val="none" w:sz="0" w:space="0" w:color="auto"/>
            <w:bottom w:val="none" w:sz="0" w:space="0" w:color="auto"/>
            <w:right w:val="none" w:sz="0" w:space="0" w:color="auto"/>
          </w:divBdr>
        </w:div>
        <w:div w:id="1828788510">
          <w:marLeft w:val="0"/>
          <w:marRight w:val="0"/>
          <w:marTop w:val="0"/>
          <w:marBottom w:val="0"/>
          <w:divBdr>
            <w:top w:val="none" w:sz="0" w:space="0" w:color="auto"/>
            <w:left w:val="none" w:sz="0" w:space="0" w:color="auto"/>
            <w:bottom w:val="none" w:sz="0" w:space="0" w:color="auto"/>
            <w:right w:val="none" w:sz="0" w:space="0" w:color="auto"/>
          </w:divBdr>
        </w:div>
      </w:divsChild>
    </w:div>
    <w:div w:id="1667053471">
      <w:bodyDiv w:val="1"/>
      <w:marLeft w:val="0"/>
      <w:marRight w:val="0"/>
      <w:marTop w:val="0"/>
      <w:marBottom w:val="0"/>
      <w:divBdr>
        <w:top w:val="none" w:sz="0" w:space="0" w:color="auto"/>
        <w:left w:val="none" w:sz="0" w:space="0" w:color="auto"/>
        <w:bottom w:val="none" w:sz="0" w:space="0" w:color="auto"/>
        <w:right w:val="none" w:sz="0" w:space="0" w:color="auto"/>
      </w:divBdr>
    </w:div>
    <w:div w:id="184597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bmissions@IJWP.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1FBFF-C162-4BAA-B17A-EF62867DC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12359</CharactersWithSpaces>
  <SharedDoc>false</SharedDoc>
  <HLinks>
    <vt:vector size="6" baseType="variant">
      <vt:variant>
        <vt:i4>3604499</vt:i4>
      </vt:variant>
      <vt:variant>
        <vt:i4>2</vt:i4>
      </vt:variant>
      <vt:variant>
        <vt:i4>0</vt:i4>
      </vt:variant>
      <vt:variant>
        <vt:i4>5</vt:i4>
      </vt:variant>
      <vt:variant>
        <vt:lpwstr>mailto:submissions@IJWP.org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Microsoft account</cp:lastModifiedBy>
  <cp:revision>2</cp:revision>
  <cp:lastPrinted>2016-10-19T18:45:00Z</cp:lastPrinted>
  <dcterms:created xsi:type="dcterms:W3CDTF">2016-10-19T20:51:00Z</dcterms:created>
  <dcterms:modified xsi:type="dcterms:W3CDTF">2016-10-19T20:51:00Z</dcterms:modified>
</cp:coreProperties>
</file>